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35B" w:rsidRPr="00CD035B" w:rsidRDefault="00CD035B" w:rsidP="00CD035B">
      <w:pPr>
        <w:spacing w:line="264" w:lineRule="atLeast"/>
        <w:rPr>
          <w:rFonts w:ascii="Arial" w:hAnsi="Arial" w:cs="Arial"/>
          <w:color w:val="333333"/>
        </w:rPr>
      </w:pPr>
      <w:r w:rsidRPr="00CD035B">
        <w:rPr>
          <w:rFonts w:ascii="Arial" w:hAnsi="Arial" w:cs="Arial"/>
          <w:color w:val="333333"/>
        </w:rPr>
        <w:t>Inside EPA - 06/07/2013</w:t>
      </w:r>
    </w:p>
    <w:p w:rsidR="00CD035B" w:rsidRPr="00CD035B" w:rsidRDefault="00CD035B" w:rsidP="00CD035B">
      <w:pPr>
        <w:spacing w:before="60" w:line="330" w:lineRule="atLeast"/>
        <w:outlineLvl w:val="0"/>
        <w:rPr>
          <w:rFonts w:ascii="Arial" w:hAnsi="Arial" w:cs="Arial"/>
          <w:b/>
          <w:bCs/>
          <w:color w:val="000000"/>
          <w:kern w:val="36"/>
          <w:sz w:val="30"/>
          <w:szCs w:val="30"/>
        </w:rPr>
      </w:pPr>
      <w:r w:rsidRPr="00CD035B">
        <w:rPr>
          <w:rFonts w:ascii="Arial" w:hAnsi="Arial" w:cs="Arial"/>
          <w:b/>
          <w:bCs/>
          <w:color w:val="000000"/>
          <w:kern w:val="36"/>
          <w:sz w:val="30"/>
          <w:szCs w:val="30"/>
        </w:rPr>
        <w:t>After Ruling, EPA Eyes Updating Guide On Brownfields Liability Defenses</w:t>
      </w:r>
    </w:p>
    <w:p w:rsidR="00CD035B" w:rsidRPr="00CD035B" w:rsidRDefault="00CD035B" w:rsidP="00CD035B">
      <w:pPr>
        <w:spacing w:line="264" w:lineRule="atLeast"/>
        <w:rPr>
          <w:rFonts w:ascii="Arial" w:hAnsi="Arial" w:cs="Arial"/>
          <w:b/>
          <w:bCs/>
          <w:color w:val="949494"/>
          <w:sz w:val="17"/>
          <w:szCs w:val="17"/>
        </w:rPr>
      </w:pPr>
      <w:r w:rsidRPr="00CD035B">
        <w:rPr>
          <w:rFonts w:ascii="Arial" w:hAnsi="Arial" w:cs="Arial"/>
          <w:b/>
          <w:bCs/>
          <w:color w:val="949494"/>
          <w:sz w:val="17"/>
          <w:szCs w:val="17"/>
        </w:rPr>
        <w:t>Posted: June 5, 2013</w:t>
      </w:r>
    </w:p>
    <w:p w:rsidR="00CD035B" w:rsidRPr="00CD035B" w:rsidRDefault="00CD035B" w:rsidP="00CD035B">
      <w:pPr>
        <w:spacing w:after="210" w:line="240" w:lineRule="atLeast"/>
        <w:rPr>
          <w:rFonts w:ascii="Arial" w:hAnsi="Arial" w:cs="Arial"/>
          <w:color w:val="000000"/>
          <w:sz w:val="18"/>
          <w:szCs w:val="18"/>
        </w:rPr>
      </w:pPr>
      <w:r w:rsidRPr="00CD035B">
        <w:rPr>
          <w:rFonts w:ascii="Arial" w:hAnsi="Arial" w:cs="Arial"/>
          <w:color w:val="000000"/>
          <w:sz w:val="18"/>
          <w:szCs w:val="18"/>
        </w:rPr>
        <w:t>EPA is weighing the need to update a 10-year-old interim guidance that compiles criteria landowners must meet to qualify for various defenses to Superfund liability at brownfields properties after a federal appellate court declined to grant the defenses for one prospective purchaser of contaminated property, causing uncertainty among developers.</w:t>
      </w:r>
    </w:p>
    <w:p w:rsidR="00CD035B" w:rsidRPr="00CD035B" w:rsidRDefault="00CD035B" w:rsidP="00CD035B">
      <w:pPr>
        <w:spacing w:after="210" w:line="240" w:lineRule="atLeast"/>
        <w:rPr>
          <w:rFonts w:ascii="Arial" w:hAnsi="Arial" w:cs="Arial"/>
          <w:color w:val="000000"/>
          <w:sz w:val="18"/>
          <w:szCs w:val="18"/>
        </w:rPr>
      </w:pPr>
      <w:r w:rsidRPr="00CD035B">
        <w:rPr>
          <w:rFonts w:ascii="Arial" w:hAnsi="Arial" w:cs="Arial"/>
          <w:color w:val="000000"/>
          <w:sz w:val="18"/>
          <w:szCs w:val="18"/>
        </w:rPr>
        <w:t>EPA's Office of Site Remediation Enforcement (OSRE) "is assessing the need for and feasibility of" updating the 2003 "Common Elements" guidance, according to an EPA spokesman in a written response to questions.</w:t>
      </w:r>
    </w:p>
    <w:p w:rsidR="00CD035B" w:rsidRPr="00CD035B" w:rsidRDefault="00CD035B" w:rsidP="00CD035B">
      <w:pPr>
        <w:spacing w:after="210" w:line="240" w:lineRule="atLeast"/>
        <w:rPr>
          <w:rFonts w:ascii="Arial" w:hAnsi="Arial" w:cs="Arial"/>
          <w:color w:val="000000"/>
          <w:sz w:val="18"/>
          <w:szCs w:val="18"/>
        </w:rPr>
      </w:pPr>
      <w:r w:rsidRPr="00CD035B">
        <w:rPr>
          <w:rFonts w:ascii="Arial" w:hAnsi="Arial" w:cs="Arial"/>
          <w:color w:val="000000"/>
          <w:sz w:val="18"/>
          <w:szCs w:val="18"/>
        </w:rPr>
        <w:t>In addition, the agency is "open to releasing new [brownfields] guidance if a strong need arises to address liability concerns," the spokesman says, echoing comments OSRE Deputy Division Director Helena Healy made at the Brownfields 2013 Conference in Atlanta May 16.</w:t>
      </w:r>
    </w:p>
    <w:p w:rsidR="00CD035B" w:rsidRPr="00CD035B" w:rsidRDefault="00CD035B" w:rsidP="00CD035B">
      <w:pPr>
        <w:spacing w:after="210" w:line="240" w:lineRule="atLeast"/>
        <w:rPr>
          <w:rFonts w:ascii="Arial" w:hAnsi="Arial" w:cs="Arial"/>
          <w:color w:val="000000"/>
          <w:sz w:val="18"/>
          <w:szCs w:val="18"/>
        </w:rPr>
      </w:pPr>
      <w:r w:rsidRPr="00CD035B">
        <w:rPr>
          <w:rFonts w:ascii="Arial" w:hAnsi="Arial" w:cs="Arial"/>
          <w:color w:val="000000"/>
          <w:sz w:val="18"/>
          <w:szCs w:val="18"/>
        </w:rPr>
        <w:t>The appellate rulings are also prompting a national brownfields group to consider seeking legislative amendments to the 2002 brownfields law to further clarify liability relief for prospective purchasers and fix issues that EPA cannot address administratively, sources say.</w:t>
      </w:r>
    </w:p>
    <w:p w:rsidR="00CD035B" w:rsidRPr="00CD035B" w:rsidRDefault="00CD035B" w:rsidP="00CD035B">
      <w:pPr>
        <w:spacing w:line="240" w:lineRule="atLeast"/>
        <w:rPr>
          <w:rFonts w:ascii="Arial" w:hAnsi="Arial" w:cs="Arial"/>
          <w:color w:val="000000"/>
          <w:sz w:val="18"/>
          <w:szCs w:val="18"/>
        </w:rPr>
      </w:pPr>
      <w:r w:rsidRPr="00CD035B">
        <w:rPr>
          <w:rFonts w:ascii="Arial" w:hAnsi="Arial" w:cs="Arial"/>
          <w:color w:val="000000"/>
          <w:sz w:val="18"/>
          <w:szCs w:val="18"/>
        </w:rPr>
        <w:t>EPA's existing 2003 guidance, known as the</w:t>
      </w:r>
      <w:r w:rsidRPr="00CD035B">
        <w:rPr>
          <w:rFonts w:ascii="Arial" w:hAnsi="Arial" w:cs="Arial"/>
          <w:color w:val="000000"/>
          <w:sz w:val="18"/>
        </w:rPr>
        <w:t> </w:t>
      </w:r>
      <w:r w:rsidRPr="00CD035B">
        <w:rPr>
          <w:rFonts w:ascii="Arial" w:hAnsi="Arial" w:cs="Arial"/>
          <w:i/>
          <w:iCs/>
          <w:color w:val="000000"/>
          <w:sz w:val="18"/>
          <w:szCs w:val="18"/>
        </w:rPr>
        <w:t>Interim Guidance Regarding Criteria Landowners Must Meet in Order to Qualify for Bona Fide Prospective Purchaser, Contiguous Property Owner, or Innocent Landowner Limitations on CERCLA Liability</w:t>
      </w:r>
      <w:r w:rsidRPr="00CD035B">
        <w:rPr>
          <w:rFonts w:ascii="Arial" w:hAnsi="Arial" w:cs="Arial"/>
          <w:color w:val="000000"/>
          <w:sz w:val="18"/>
          <w:szCs w:val="18"/>
        </w:rPr>
        <w:t>, lists several "common elements" of the 2002 Brownfields Amendments to Superfund law that new landowners, who are not responsible for contamination on a property, must meet in order to qualify for liability protections under the Comprehensive Environmental Response, Compensation &amp; Liability Act (CERCLA).</w:t>
      </w:r>
    </w:p>
    <w:p w:rsidR="00CD035B" w:rsidRPr="00CD035B" w:rsidRDefault="00CD035B" w:rsidP="00CD035B">
      <w:pPr>
        <w:spacing w:after="210" w:line="240" w:lineRule="atLeast"/>
        <w:rPr>
          <w:rFonts w:ascii="Arial" w:hAnsi="Arial" w:cs="Arial"/>
          <w:color w:val="000000"/>
          <w:sz w:val="18"/>
          <w:szCs w:val="18"/>
        </w:rPr>
      </w:pPr>
      <w:r w:rsidRPr="00CD035B">
        <w:rPr>
          <w:rFonts w:ascii="Arial" w:hAnsi="Arial" w:cs="Arial"/>
          <w:color w:val="000000"/>
          <w:sz w:val="18"/>
          <w:szCs w:val="18"/>
        </w:rPr>
        <w:t>Under the 2002 law, Congress limited liability for brownfields prospective purchasers (BFPPs) of contaminated property to eliminate disincentives for developers to purchase and redevelop brownfields.</w:t>
      </w:r>
    </w:p>
    <w:p w:rsidR="00CD035B" w:rsidRPr="00CD035B" w:rsidRDefault="00CD035B" w:rsidP="00CD035B">
      <w:pPr>
        <w:spacing w:after="210" w:line="240" w:lineRule="atLeast"/>
        <w:rPr>
          <w:rFonts w:ascii="Arial" w:hAnsi="Arial" w:cs="Arial"/>
          <w:color w:val="000000"/>
          <w:sz w:val="18"/>
          <w:szCs w:val="18"/>
        </w:rPr>
      </w:pPr>
      <w:r w:rsidRPr="00CD035B">
        <w:rPr>
          <w:rFonts w:ascii="Arial" w:hAnsi="Arial" w:cs="Arial"/>
          <w:color w:val="000000"/>
          <w:sz w:val="18"/>
          <w:szCs w:val="18"/>
        </w:rPr>
        <w:t>But according to Amy Edwards, a brownfields attorney at Holland &amp; Knight, Congress provided "little clarification as to the precise nature and scope of these common elements, and each has thus been the subject of significant interpretation over the past decade."</w:t>
      </w:r>
    </w:p>
    <w:p w:rsidR="00CD035B" w:rsidRPr="00CD035B" w:rsidRDefault="00CD035B" w:rsidP="00CD035B">
      <w:pPr>
        <w:spacing w:line="240" w:lineRule="atLeast"/>
        <w:rPr>
          <w:rFonts w:ascii="Arial" w:hAnsi="Arial" w:cs="Arial"/>
          <w:color w:val="000000"/>
          <w:sz w:val="18"/>
          <w:szCs w:val="18"/>
        </w:rPr>
      </w:pPr>
      <w:r w:rsidRPr="00CD035B">
        <w:rPr>
          <w:rFonts w:ascii="Arial" w:hAnsi="Arial" w:cs="Arial"/>
          <w:color w:val="000000"/>
          <w:sz w:val="18"/>
          <w:szCs w:val="18"/>
        </w:rPr>
        <w:t>Among other things, the Brownfields Amendments and guidance list several criteria that new owners of contaminated property must meet if they are to gain liability protection, one of which is that they exercise "appropriate care" regarding hazardous substances on the property by taking "reasonable steps" to prevent releases, stop any continuing releases, and prevent human or environmental exposures to any previously released hazardous substances. But many attorneys are concerned that the guidance as currently crafted</w:t>
      </w:r>
      <w:r w:rsidRPr="00CD035B">
        <w:rPr>
          <w:rFonts w:ascii="Arial" w:hAnsi="Arial" w:cs="Arial"/>
          <w:b/>
          <w:bCs/>
          <w:color w:val="000000"/>
          <w:sz w:val="18"/>
        </w:rPr>
        <w:t> </w:t>
      </w:r>
      <w:r w:rsidRPr="00CD035B">
        <w:rPr>
          <w:rFonts w:ascii="Arial" w:hAnsi="Arial" w:cs="Arial"/>
          <w:color w:val="000000"/>
          <w:sz w:val="18"/>
          <w:szCs w:val="18"/>
        </w:rPr>
        <w:t>does not provide adequate details on what steps developers must take to qualify as BFPPs especially in light of the recent appellate ruling as well as an earlier district court ruling.</w:t>
      </w:r>
    </w:p>
    <w:p w:rsidR="00CD035B" w:rsidRPr="00CD035B" w:rsidRDefault="00CD035B" w:rsidP="00CD035B">
      <w:pPr>
        <w:spacing w:line="240" w:lineRule="atLeast"/>
        <w:rPr>
          <w:rFonts w:ascii="Arial" w:hAnsi="Arial" w:cs="Arial"/>
          <w:color w:val="000000"/>
          <w:sz w:val="18"/>
          <w:szCs w:val="18"/>
        </w:rPr>
      </w:pPr>
      <w:r w:rsidRPr="00CD035B">
        <w:rPr>
          <w:rFonts w:ascii="Arial" w:hAnsi="Arial" w:cs="Arial"/>
          <w:b/>
          <w:bCs/>
          <w:color w:val="000000"/>
          <w:sz w:val="18"/>
          <w:szCs w:val="18"/>
        </w:rPr>
        <w:t>In its April 4 ruling in</w:t>
      </w:r>
      <w:r w:rsidRPr="00CD035B">
        <w:rPr>
          <w:rFonts w:ascii="Arial" w:hAnsi="Arial" w:cs="Arial"/>
          <w:b/>
          <w:bCs/>
          <w:color w:val="000000"/>
          <w:sz w:val="18"/>
        </w:rPr>
        <w:t> </w:t>
      </w:r>
      <w:r w:rsidRPr="00CD035B">
        <w:rPr>
          <w:rFonts w:ascii="Arial" w:hAnsi="Arial" w:cs="Arial"/>
          <w:b/>
          <w:bCs/>
          <w:i/>
          <w:iCs/>
          <w:color w:val="000000"/>
          <w:sz w:val="18"/>
          <w:szCs w:val="18"/>
        </w:rPr>
        <w:t>PCS Nitrogen Inc. v. Ashley II of Charleston LLC</w:t>
      </w:r>
      <w:r w:rsidRPr="00CD035B">
        <w:rPr>
          <w:rFonts w:ascii="Arial" w:hAnsi="Arial" w:cs="Arial"/>
          <w:b/>
          <w:bCs/>
          <w:color w:val="000000"/>
          <w:sz w:val="18"/>
          <w:szCs w:val="18"/>
        </w:rPr>
        <w:t>.,</w:t>
      </w:r>
      <w:r w:rsidRPr="00CD035B">
        <w:rPr>
          <w:rFonts w:ascii="Arial" w:hAnsi="Arial" w:cs="Arial"/>
          <w:color w:val="000000"/>
          <w:sz w:val="18"/>
        </w:rPr>
        <w:t> </w:t>
      </w:r>
      <w:r w:rsidRPr="00CD035B">
        <w:rPr>
          <w:rFonts w:ascii="Arial" w:hAnsi="Arial" w:cs="Arial"/>
          <w:color w:val="000000"/>
          <w:sz w:val="18"/>
          <w:szCs w:val="18"/>
        </w:rPr>
        <w:t>the U.S. Court of Appeals for the 4th Circuit rejected arguments from developer Ashley that courts should apply a less stringent standard of "appropriate care" when determining BFPP status as compared to the traditional liability standard used for parties who are liable under CERCLA's section 107(a) liability scheme.</w:t>
      </w:r>
    </w:p>
    <w:p w:rsidR="00CD035B" w:rsidRPr="00CD035B" w:rsidRDefault="00CD035B" w:rsidP="00CD035B">
      <w:pPr>
        <w:spacing w:after="210" w:line="240" w:lineRule="atLeast"/>
        <w:rPr>
          <w:rFonts w:ascii="Arial" w:hAnsi="Arial" w:cs="Arial"/>
          <w:color w:val="000000"/>
          <w:sz w:val="18"/>
          <w:szCs w:val="18"/>
        </w:rPr>
      </w:pPr>
      <w:r w:rsidRPr="00CD035B">
        <w:rPr>
          <w:rFonts w:ascii="Arial" w:hAnsi="Arial" w:cs="Arial"/>
          <w:color w:val="000000"/>
          <w:sz w:val="18"/>
          <w:szCs w:val="18"/>
        </w:rPr>
        <w:t>Instead, the court equated "appropriate care" to CERCLA's "due care" requirements, a standard required of innocent landowners who did not know of the presence of hazardous substances when acquiring a property.</w:t>
      </w:r>
    </w:p>
    <w:p w:rsidR="00CD035B" w:rsidRPr="00CD035B" w:rsidRDefault="00CD035B" w:rsidP="00CD035B">
      <w:pPr>
        <w:spacing w:line="240" w:lineRule="atLeast"/>
        <w:rPr>
          <w:rFonts w:ascii="Arial" w:hAnsi="Arial" w:cs="Arial"/>
          <w:color w:val="000000"/>
          <w:sz w:val="18"/>
          <w:szCs w:val="18"/>
        </w:rPr>
      </w:pPr>
      <w:r w:rsidRPr="00CD035B">
        <w:rPr>
          <w:rFonts w:ascii="Arial" w:hAnsi="Arial" w:cs="Arial"/>
          <w:color w:val="000000"/>
          <w:sz w:val="18"/>
          <w:szCs w:val="18"/>
        </w:rPr>
        <w:t>As a result, the court found that Ashley had failed to meet the definition of a BFPP and was therefore ineligible to obtain liability protection against CERCLA claims because it had not taken the appropriate care required under the 2002 Brownfields Amendments (</w:t>
      </w:r>
      <w:r w:rsidRPr="00CD035B">
        <w:rPr>
          <w:rFonts w:ascii="Arial" w:hAnsi="Arial" w:cs="Arial"/>
          <w:i/>
          <w:iCs/>
          <w:color w:val="000000"/>
          <w:sz w:val="18"/>
          <w:szCs w:val="18"/>
        </w:rPr>
        <w:t>Inside EPA</w:t>
      </w:r>
      <w:r w:rsidRPr="00CD035B">
        <w:rPr>
          <w:rFonts w:ascii="Arial" w:hAnsi="Arial" w:cs="Arial"/>
          <w:color w:val="000000"/>
          <w:sz w:val="18"/>
          <w:szCs w:val="18"/>
        </w:rPr>
        <w:t>, April 12).</w:t>
      </w:r>
    </w:p>
    <w:p w:rsidR="00CD035B" w:rsidRPr="00CD035B" w:rsidRDefault="00CD035B" w:rsidP="00CD035B">
      <w:pPr>
        <w:spacing w:line="240" w:lineRule="atLeast"/>
        <w:rPr>
          <w:rFonts w:ascii="Arial" w:hAnsi="Arial" w:cs="Arial"/>
          <w:color w:val="000000"/>
          <w:sz w:val="18"/>
          <w:szCs w:val="18"/>
        </w:rPr>
      </w:pPr>
      <w:r w:rsidRPr="00CD035B">
        <w:rPr>
          <w:rFonts w:ascii="Arial" w:hAnsi="Arial" w:cs="Arial"/>
          <w:color w:val="000000"/>
          <w:sz w:val="18"/>
          <w:szCs w:val="18"/>
        </w:rPr>
        <w:t>The 4th Circuit April 30 denied a request from PCS Nitrogen to rehear the case or rehear it</w:t>
      </w:r>
      <w:r w:rsidRPr="00CD035B">
        <w:rPr>
          <w:rFonts w:ascii="Arial" w:hAnsi="Arial" w:cs="Arial"/>
          <w:color w:val="000000"/>
          <w:sz w:val="18"/>
        </w:rPr>
        <w:t> </w:t>
      </w:r>
      <w:r w:rsidRPr="00CD035B">
        <w:rPr>
          <w:rFonts w:ascii="Arial" w:hAnsi="Arial" w:cs="Arial"/>
          <w:i/>
          <w:iCs/>
          <w:color w:val="000000"/>
          <w:sz w:val="18"/>
          <w:szCs w:val="18"/>
        </w:rPr>
        <w:t>en banc</w:t>
      </w:r>
      <w:r w:rsidRPr="00CD035B">
        <w:rPr>
          <w:rFonts w:ascii="Arial" w:hAnsi="Arial" w:cs="Arial"/>
          <w:color w:val="000000"/>
          <w:sz w:val="18"/>
          <w:szCs w:val="18"/>
        </w:rPr>
        <w:t>, though the company has not yet decided whether it will ask the Supreme Court to hear the case.</w:t>
      </w:r>
    </w:p>
    <w:p w:rsidR="00CD035B" w:rsidRPr="00CD035B" w:rsidRDefault="00CD035B" w:rsidP="00CD035B">
      <w:pPr>
        <w:spacing w:line="240" w:lineRule="atLeast"/>
        <w:rPr>
          <w:rFonts w:ascii="Arial" w:hAnsi="Arial" w:cs="Arial"/>
          <w:color w:val="000000"/>
          <w:sz w:val="18"/>
          <w:szCs w:val="18"/>
        </w:rPr>
      </w:pPr>
      <w:r w:rsidRPr="00CD035B">
        <w:rPr>
          <w:rFonts w:ascii="Arial" w:hAnsi="Arial" w:cs="Arial"/>
          <w:color w:val="000000"/>
          <w:sz w:val="18"/>
          <w:szCs w:val="18"/>
        </w:rPr>
        <w:lastRenderedPageBreak/>
        <w:t>The ruling, as well as a much different 2010 district court ruling in</w:t>
      </w:r>
      <w:r w:rsidRPr="00CD035B">
        <w:rPr>
          <w:rFonts w:ascii="Arial" w:hAnsi="Arial" w:cs="Arial"/>
          <w:color w:val="000000"/>
          <w:sz w:val="18"/>
        </w:rPr>
        <w:t> </w:t>
      </w:r>
      <w:r w:rsidRPr="00CD035B">
        <w:rPr>
          <w:rFonts w:ascii="Arial" w:hAnsi="Arial" w:cs="Arial"/>
          <w:i/>
          <w:iCs/>
          <w:color w:val="000000"/>
          <w:sz w:val="18"/>
          <w:szCs w:val="18"/>
        </w:rPr>
        <w:t>3000 E. Imperial, LLC v. Robertshaw Controls Co., et al</w:t>
      </w:r>
      <w:r w:rsidRPr="00CD035B">
        <w:rPr>
          <w:rFonts w:ascii="Arial" w:hAnsi="Arial" w:cs="Arial"/>
          <w:color w:val="000000"/>
          <w:sz w:val="18"/>
          <w:szCs w:val="18"/>
        </w:rPr>
        <w:t>., has created uncertainty over what steps or care developers must take to be considered BFPPs, the designation that allows them to qualify for liability protections.</w:t>
      </w:r>
    </w:p>
    <w:p w:rsidR="00CD035B" w:rsidRPr="00CD035B" w:rsidRDefault="00CD035B" w:rsidP="00CD035B">
      <w:pPr>
        <w:spacing w:line="240" w:lineRule="atLeast"/>
        <w:rPr>
          <w:rFonts w:ascii="Arial" w:hAnsi="Arial" w:cs="Arial"/>
          <w:color w:val="000000"/>
          <w:sz w:val="18"/>
          <w:szCs w:val="18"/>
        </w:rPr>
      </w:pPr>
      <w:r w:rsidRPr="00CD035B">
        <w:rPr>
          <w:rFonts w:ascii="Arial" w:hAnsi="Arial" w:cs="Arial"/>
          <w:color w:val="000000"/>
          <w:sz w:val="18"/>
          <w:szCs w:val="18"/>
        </w:rPr>
        <w:t>For example, one brownfields attorney says there continues to be much concern</w:t>
      </w:r>
      <w:r w:rsidRPr="00CD035B">
        <w:rPr>
          <w:rFonts w:ascii="Arial" w:hAnsi="Arial" w:cs="Arial"/>
          <w:b/>
          <w:bCs/>
          <w:color w:val="000000"/>
          <w:sz w:val="18"/>
        </w:rPr>
        <w:t> </w:t>
      </w:r>
      <w:r w:rsidRPr="00CD035B">
        <w:rPr>
          <w:rFonts w:ascii="Arial" w:hAnsi="Arial" w:cs="Arial"/>
          <w:color w:val="000000"/>
          <w:sz w:val="18"/>
          <w:szCs w:val="18"/>
        </w:rPr>
        <w:t>among regulated parties and within the brownfields community about the self-executing nature of the BFPP provision, noting that the source of that uncertainty stems from the</w:t>
      </w:r>
      <w:r w:rsidRPr="00CD035B">
        <w:rPr>
          <w:rFonts w:ascii="Arial" w:hAnsi="Arial" w:cs="Arial"/>
          <w:color w:val="000000"/>
          <w:sz w:val="18"/>
        </w:rPr>
        <w:t> </w:t>
      </w:r>
      <w:r w:rsidRPr="00CD035B">
        <w:rPr>
          <w:rFonts w:ascii="Arial" w:hAnsi="Arial" w:cs="Arial"/>
          <w:i/>
          <w:iCs/>
          <w:color w:val="000000"/>
          <w:sz w:val="18"/>
          <w:szCs w:val="18"/>
        </w:rPr>
        <w:t>Ashley II</w:t>
      </w:r>
      <w:r w:rsidRPr="00CD035B">
        <w:rPr>
          <w:rFonts w:ascii="Arial" w:hAnsi="Arial" w:cs="Arial"/>
          <w:color w:val="000000"/>
          <w:sz w:val="18"/>
        </w:rPr>
        <w:t> </w:t>
      </w:r>
      <w:r w:rsidRPr="00CD035B">
        <w:rPr>
          <w:rFonts w:ascii="Arial" w:hAnsi="Arial" w:cs="Arial"/>
          <w:color w:val="000000"/>
          <w:sz w:val="18"/>
          <w:szCs w:val="18"/>
        </w:rPr>
        <w:t>and</w:t>
      </w:r>
      <w:r w:rsidRPr="00CD035B">
        <w:rPr>
          <w:rFonts w:ascii="Arial" w:hAnsi="Arial" w:cs="Arial"/>
          <w:color w:val="000000"/>
          <w:sz w:val="18"/>
        </w:rPr>
        <w:t> </w:t>
      </w:r>
      <w:r w:rsidRPr="00CD035B">
        <w:rPr>
          <w:rFonts w:ascii="Arial" w:hAnsi="Arial" w:cs="Arial"/>
          <w:i/>
          <w:iCs/>
          <w:color w:val="000000"/>
          <w:sz w:val="18"/>
          <w:szCs w:val="18"/>
        </w:rPr>
        <w:t>3000 E. Imperial</w:t>
      </w:r>
      <w:r w:rsidRPr="00CD035B">
        <w:rPr>
          <w:rFonts w:ascii="Arial" w:hAnsi="Arial" w:cs="Arial"/>
          <w:color w:val="000000"/>
          <w:sz w:val="18"/>
        </w:rPr>
        <w:t> </w:t>
      </w:r>
      <w:r w:rsidRPr="00CD035B">
        <w:rPr>
          <w:rFonts w:ascii="Arial" w:hAnsi="Arial" w:cs="Arial"/>
          <w:color w:val="000000"/>
          <w:sz w:val="18"/>
          <w:szCs w:val="18"/>
        </w:rPr>
        <w:t>cases.</w:t>
      </w:r>
    </w:p>
    <w:p w:rsidR="00CD035B" w:rsidRPr="00CD035B" w:rsidRDefault="00CD035B" w:rsidP="00CD035B">
      <w:pPr>
        <w:spacing w:after="210" w:line="240" w:lineRule="atLeast"/>
        <w:rPr>
          <w:rFonts w:ascii="Arial" w:hAnsi="Arial" w:cs="Arial"/>
          <w:color w:val="000000"/>
          <w:sz w:val="18"/>
          <w:szCs w:val="18"/>
        </w:rPr>
      </w:pPr>
      <w:r w:rsidRPr="00CD035B">
        <w:rPr>
          <w:rFonts w:ascii="Arial" w:hAnsi="Arial" w:cs="Arial"/>
          <w:color w:val="000000"/>
          <w:sz w:val="18"/>
          <w:szCs w:val="18"/>
        </w:rPr>
        <w:t>Another source with a brownfields public/private sector group says that the recent court rulings have "chipped away at what we thought were good liability protections" in the 2002 Brownfields Amendments.</w:t>
      </w:r>
    </w:p>
    <w:p w:rsidR="00CD035B" w:rsidRPr="00CD035B" w:rsidRDefault="00CD035B" w:rsidP="00CD035B">
      <w:pPr>
        <w:spacing w:after="210" w:line="240" w:lineRule="atLeast"/>
        <w:rPr>
          <w:rFonts w:ascii="Arial" w:hAnsi="Arial" w:cs="Arial"/>
          <w:color w:val="000000"/>
          <w:sz w:val="18"/>
          <w:szCs w:val="18"/>
        </w:rPr>
      </w:pPr>
      <w:r w:rsidRPr="00CD035B">
        <w:rPr>
          <w:rFonts w:ascii="Arial" w:hAnsi="Arial" w:cs="Arial"/>
          <w:color w:val="000000"/>
          <w:sz w:val="18"/>
          <w:szCs w:val="18"/>
        </w:rPr>
        <w:t>As a result of the concern, one attorney is calling for EPA to provide additional guidance on what steps developers must take to take the "appropriate care" needed to qualify as a BFPP. We "want EPA to put some flesh on the bones as to what is appropriate care so we don't have to rely on court rulings" to make that determination, the attorney says.</w:t>
      </w:r>
    </w:p>
    <w:p w:rsidR="00CD035B" w:rsidRPr="00CD035B" w:rsidRDefault="00CD035B" w:rsidP="00CD035B">
      <w:pPr>
        <w:spacing w:line="240" w:lineRule="atLeast"/>
        <w:rPr>
          <w:rFonts w:ascii="Arial" w:hAnsi="Arial" w:cs="Arial"/>
          <w:color w:val="000000"/>
          <w:sz w:val="18"/>
          <w:szCs w:val="18"/>
        </w:rPr>
      </w:pPr>
      <w:r w:rsidRPr="00CD035B">
        <w:rPr>
          <w:rFonts w:ascii="Arial" w:hAnsi="Arial" w:cs="Arial"/>
          <w:color w:val="000000"/>
          <w:sz w:val="18"/>
          <w:szCs w:val="18"/>
        </w:rPr>
        <w:t>Lawrence Schnapf, an environmental brownfields attorney who spoke on the BFPP panel in Atlanta, told</w:t>
      </w:r>
      <w:r w:rsidRPr="00CD035B">
        <w:rPr>
          <w:rFonts w:ascii="Arial" w:hAnsi="Arial" w:cs="Arial"/>
          <w:color w:val="000000"/>
          <w:sz w:val="18"/>
        </w:rPr>
        <w:t> </w:t>
      </w:r>
      <w:r w:rsidRPr="00CD035B">
        <w:rPr>
          <w:rFonts w:ascii="Arial" w:hAnsi="Arial" w:cs="Arial"/>
          <w:i/>
          <w:iCs/>
          <w:color w:val="000000"/>
          <w:sz w:val="18"/>
          <w:szCs w:val="18"/>
        </w:rPr>
        <w:t>Inside EPA</w:t>
      </w:r>
      <w:r w:rsidRPr="00CD035B">
        <w:rPr>
          <w:rFonts w:ascii="Arial" w:hAnsi="Arial" w:cs="Arial"/>
          <w:color w:val="000000"/>
          <w:sz w:val="18"/>
        </w:rPr>
        <w:t> </w:t>
      </w:r>
      <w:r w:rsidRPr="00CD035B">
        <w:rPr>
          <w:rFonts w:ascii="Arial" w:hAnsi="Arial" w:cs="Arial"/>
          <w:color w:val="000000"/>
          <w:sz w:val="18"/>
          <w:szCs w:val="18"/>
        </w:rPr>
        <w:t>that at the conference he urged EPA to issue an updated version of its Common Elements guidance in order to provide further clarity following the court rulings.</w:t>
      </w:r>
      <w:r w:rsidRPr="00CD035B">
        <w:rPr>
          <w:rFonts w:ascii="Arial" w:hAnsi="Arial" w:cs="Arial"/>
          <w:b/>
          <w:bCs/>
          <w:color w:val="000000"/>
          <w:sz w:val="18"/>
        </w:rPr>
        <w:t> </w:t>
      </w:r>
      <w:r w:rsidRPr="00CD035B">
        <w:rPr>
          <w:rFonts w:ascii="Arial" w:hAnsi="Arial" w:cs="Arial"/>
          <w:color w:val="000000"/>
          <w:sz w:val="18"/>
          <w:szCs w:val="18"/>
        </w:rPr>
        <w:t>Prior to the conference, he said "it makes sense" to update the guidance to clarify to the public and EPA regional attorneys what constitutes "due care."</w:t>
      </w:r>
    </w:p>
    <w:p w:rsidR="00CD035B" w:rsidRPr="00CD035B" w:rsidRDefault="00CD035B" w:rsidP="00CD035B">
      <w:pPr>
        <w:spacing w:after="210" w:line="240" w:lineRule="atLeast"/>
        <w:rPr>
          <w:rFonts w:ascii="Arial" w:hAnsi="Arial" w:cs="Arial"/>
          <w:color w:val="000000"/>
          <w:sz w:val="18"/>
          <w:szCs w:val="18"/>
        </w:rPr>
      </w:pPr>
      <w:r w:rsidRPr="00CD035B">
        <w:rPr>
          <w:rFonts w:ascii="Arial" w:hAnsi="Arial" w:cs="Arial"/>
          <w:color w:val="000000"/>
          <w:sz w:val="18"/>
          <w:szCs w:val="18"/>
        </w:rPr>
        <w:t>The current guidance simply states that due care case law should inform "appropriate care," he said in an email response to questions. "We now have a decade of experience and a number of cases that have addressed the scope of the appropriate care obligations," and the industry standard-setter ASTM has issued a continuing obligations guide, he said.</w:t>
      </w:r>
    </w:p>
    <w:p w:rsidR="00CD035B" w:rsidRPr="00CD035B" w:rsidRDefault="00CD035B" w:rsidP="00CD035B">
      <w:pPr>
        <w:spacing w:line="240" w:lineRule="atLeast"/>
        <w:rPr>
          <w:rFonts w:ascii="Arial" w:hAnsi="Arial" w:cs="Arial"/>
          <w:color w:val="000000"/>
          <w:sz w:val="18"/>
          <w:szCs w:val="18"/>
        </w:rPr>
      </w:pPr>
      <w:r w:rsidRPr="00CD035B">
        <w:rPr>
          <w:rFonts w:ascii="Arial" w:hAnsi="Arial" w:cs="Arial"/>
          <w:b/>
          <w:bCs/>
          <w:color w:val="000000"/>
          <w:sz w:val="18"/>
          <w:szCs w:val="18"/>
        </w:rPr>
        <w:t>Brownfields attorneys also pressed EPA at the conference to increase its use of covenants</w:t>
      </w:r>
      <w:r w:rsidRPr="00CD035B">
        <w:rPr>
          <w:rFonts w:ascii="Arial" w:hAnsi="Arial" w:cs="Arial"/>
          <w:color w:val="000000"/>
          <w:sz w:val="18"/>
        </w:rPr>
        <w:t> </w:t>
      </w:r>
      <w:r w:rsidRPr="00CD035B">
        <w:rPr>
          <w:rFonts w:ascii="Arial" w:hAnsi="Arial" w:cs="Arial"/>
          <w:color w:val="000000"/>
          <w:sz w:val="18"/>
          <w:szCs w:val="18"/>
        </w:rPr>
        <w:t>not to sue and prospective purchaser agreements to parties not responsible for contamination, according to brownfields attorney Michael Goldstein, who also spoke at the forum and is heading up a committee under the National Brownfields Coalition, an alliance that represents a range of interests that favor brownfields cleanup and redevelopment, to advocate for further liability relief in legislation next year.</w:t>
      </w:r>
    </w:p>
    <w:p w:rsidR="00CD035B" w:rsidRPr="00CD035B" w:rsidRDefault="00CD035B" w:rsidP="00CD035B">
      <w:pPr>
        <w:spacing w:after="210" w:line="240" w:lineRule="atLeast"/>
        <w:rPr>
          <w:rFonts w:ascii="Arial" w:hAnsi="Arial" w:cs="Arial"/>
          <w:color w:val="000000"/>
          <w:sz w:val="18"/>
          <w:szCs w:val="18"/>
        </w:rPr>
      </w:pPr>
      <w:r w:rsidRPr="00CD035B">
        <w:rPr>
          <w:rFonts w:ascii="Arial" w:hAnsi="Arial" w:cs="Arial"/>
          <w:color w:val="000000"/>
          <w:sz w:val="18"/>
          <w:szCs w:val="18"/>
        </w:rPr>
        <w:t>Goldstein says there is continuing "discomfort" with the underlying structure of the BFPP defense, citing the variability in court rulings.</w:t>
      </w:r>
    </w:p>
    <w:p w:rsidR="00CD035B" w:rsidRPr="00CD035B" w:rsidRDefault="00CD035B" w:rsidP="00CD035B">
      <w:pPr>
        <w:spacing w:after="210" w:line="240" w:lineRule="atLeast"/>
        <w:rPr>
          <w:rFonts w:ascii="Arial" w:hAnsi="Arial" w:cs="Arial"/>
          <w:color w:val="000000"/>
          <w:sz w:val="18"/>
          <w:szCs w:val="18"/>
        </w:rPr>
      </w:pPr>
      <w:r w:rsidRPr="00CD035B">
        <w:rPr>
          <w:rFonts w:ascii="Arial" w:hAnsi="Arial" w:cs="Arial"/>
          <w:color w:val="000000"/>
          <w:sz w:val="18"/>
          <w:szCs w:val="18"/>
        </w:rPr>
        <w:t>While a coalition source declined to predict what the group's legislative proposals will be, Goldstein lays out two areas in need of amendments. The group plans to seek amendments to the BFPP defense to provide more certainty and clarity to developers and end users as to what they can do in the context of construction activities on brownfields, he says.</w:t>
      </w:r>
    </w:p>
    <w:p w:rsidR="00CD035B" w:rsidRPr="00CD035B" w:rsidRDefault="00CD035B" w:rsidP="00CD035B">
      <w:pPr>
        <w:spacing w:after="210" w:line="240" w:lineRule="atLeast"/>
        <w:rPr>
          <w:rFonts w:ascii="Arial" w:hAnsi="Arial" w:cs="Arial"/>
          <w:color w:val="000000"/>
          <w:sz w:val="18"/>
          <w:szCs w:val="18"/>
        </w:rPr>
      </w:pPr>
      <w:r w:rsidRPr="00CD035B">
        <w:rPr>
          <w:rFonts w:ascii="Arial" w:hAnsi="Arial" w:cs="Arial"/>
          <w:color w:val="000000"/>
          <w:sz w:val="18"/>
          <w:szCs w:val="18"/>
        </w:rPr>
        <w:t>In particular, he says the group would like to see the definition of "disposal" amended under the BFPP provision. Under the brownfields law, a BFPP must show that all hazardous substance disposals occurred prior to acquisition.</w:t>
      </w:r>
    </w:p>
    <w:p w:rsidR="00CD035B" w:rsidRPr="00CD035B" w:rsidRDefault="00CD035B" w:rsidP="00CD035B">
      <w:pPr>
        <w:spacing w:after="210" w:line="240" w:lineRule="atLeast"/>
        <w:rPr>
          <w:rFonts w:ascii="Arial" w:hAnsi="Arial" w:cs="Arial"/>
          <w:color w:val="000000"/>
          <w:sz w:val="18"/>
          <w:szCs w:val="18"/>
        </w:rPr>
      </w:pPr>
      <w:r w:rsidRPr="00CD035B">
        <w:rPr>
          <w:rFonts w:ascii="Arial" w:hAnsi="Arial" w:cs="Arial"/>
          <w:color w:val="000000"/>
          <w:sz w:val="18"/>
          <w:szCs w:val="18"/>
        </w:rPr>
        <w:t>He is calling for an amendment to "except out" the types of construction activities one would expect to occur on a brownfields site and construction that typically involves moving contaminated media from one location to another. Under current case law in some jurisdictions, moving contaminated media from one location to another within a brownfields site constitutes disposal and voids use of the BFPP defense, he says.</w:t>
      </w:r>
    </w:p>
    <w:p w:rsidR="00CD035B" w:rsidRPr="00CD035B" w:rsidRDefault="00CD035B" w:rsidP="00CD035B">
      <w:pPr>
        <w:spacing w:line="240" w:lineRule="atLeast"/>
        <w:rPr>
          <w:rFonts w:ascii="Arial" w:hAnsi="Arial" w:cs="Arial"/>
          <w:color w:val="000000"/>
          <w:sz w:val="18"/>
          <w:szCs w:val="18"/>
        </w:rPr>
      </w:pPr>
      <w:r w:rsidRPr="00CD035B">
        <w:rPr>
          <w:rFonts w:ascii="Arial" w:hAnsi="Arial" w:cs="Arial"/>
          <w:color w:val="000000"/>
          <w:sz w:val="18"/>
          <w:szCs w:val="18"/>
        </w:rPr>
        <w:t>Goldstein also says there is a need for a statutory fix to address the affiliation issue that arose in</w:t>
      </w:r>
      <w:r w:rsidRPr="00CD035B">
        <w:rPr>
          <w:rFonts w:ascii="Arial" w:hAnsi="Arial" w:cs="Arial"/>
          <w:color w:val="000000"/>
          <w:sz w:val="18"/>
        </w:rPr>
        <w:t> </w:t>
      </w:r>
      <w:r w:rsidRPr="00CD035B">
        <w:rPr>
          <w:rFonts w:ascii="Arial" w:hAnsi="Arial" w:cs="Arial"/>
          <w:i/>
          <w:iCs/>
          <w:color w:val="000000"/>
          <w:sz w:val="18"/>
          <w:szCs w:val="18"/>
        </w:rPr>
        <w:t>Ashley II</w:t>
      </w:r>
      <w:r w:rsidRPr="00CD035B">
        <w:rPr>
          <w:rFonts w:ascii="Arial" w:hAnsi="Arial" w:cs="Arial"/>
          <w:color w:val="000000"/>
          <w:sz w:val="18"/>
          <w:szCs w:val="18"/>
        </w:rPr>
        <w:t xml:space="preserve">, noting there is a limit to what EPA can do on this administratively. One requirement needed to satisfy the BFPP criteria under the Brownfields Amendments is that the </w:t>
      </w:r>
      <w:proofErr w:type="gramStart"/>
      <w:r w:rsidRPr="00CD035B">
        <w:rPr>
          <w:rFonts w:ascii="Arial" w:hAnsi="Arial" w:cs="Arial"/>
          <w:color w:val="000000"/>
          <w:sz w:val="18"/>
          <w:szCs w:val="18"/>
        </w:rPr>
        <w:t>purchaser have</w:t>
      </w:r>
      <w:proofErr w:type="gramEnd"/>
      <w:r w:rsidRPr="00CD035B">
        <w:rPr>
          <w:rFonts w:ascii="Arial" w:hAnsi="Arial" w:cs="Arial"/>
          <w:color w:val="000000"/>
          <w:sz w:val="18"/>
          <w:szCs w:val="18"/>
        </w:rPr>
        <w:t xml:space="preserve"> "no affiliation" with potentially responsible parties. The appellate court in the case did not address the "no affiliation" requirement when it affirmed the lower court decision, but the lower court's finding on the matter has prompted worry among brownfields developers. The lower court found that Ashley, which indemnified previous site owners from liability and tried to persuade EPA not to take enforcement action for harm caused by these previous owners, had an "improper affiliation" with a liable party. --</w:t>
      </w:r>
      <w:r w:rsidRPr="00CD035B">
        <w:rPr>
          <w:rFonts w:ascii="Arial" w:hAnsi="Arial" w:cs="Arial"/>
          <w:color w:val="000000"/>
          <w:sz w:val="18"/>
        </w:rPr>
        <w:t> </w:t>
      </w:r>
      <w:r w:rsidRPr="00CD035B">
        <w:rPr>
          <w:rFonts w:ascii="Arial" w:hAnsi="Arial" w:cs="Arial"/>
          <w:i/>
          <w:iCs/>
          <w:color w:val="000000"/>
          <w:sz w:val="18"/>
          <w:szCs w:val="18"/>
        </w:rPr>
        <w:t>Suzanne Yohannan</w:t>
      </w:r>
    </w:p>
    <w:p w:rsidR="00CD035B" w:rsidRPr="00CD035B" w:rsidRDefault="00CD035B" w:rsidP="00CD035B">
      <w:pPr>
        <w:spacing w:line="264" w:lineRule="atLeast"/>
        <w:rPr>
          <w:rFonts w:ascii="Arial" w:hAnsi="Arial" w:cs="Arial"/>
          <w:color w:val="000000"/>
          <w:sz w:val="17"/>
          <w:szCs w:val="17"/>
        </w:rPr>
      </w:pPr>
      <w:r w:rsidRPr="00CD035B">
        <w:rPr>
          <w:rFonts w:ascii="Arial" w:hAnsi="Arial" w:cs="Arial"/>
          <w:color w:val="000000"/>
          <w:sz w:val="17"/>
          <w:szCs w:val="17"/>
        </w:rPr>
        <w:lastRenderedPageBreak/>
        <w:t>2436642</w:t>
      </w:r>
    </w:p>
    <w:p w:rsidR="00370C03" w:rsidRDefault="00CD035B" w:rsidP="00CD035B">
      <w:r w:rsidRPr="00CD035B">
        <w:rPr>
          <w:rFonts w:ascii="Arial" w:hAnsi="Arial" w:cs="Arial"/>
          <w:i/>
          <w:iCs/>
          <w:color w:val="000000"/>
          <w:sz w:val="17"/>
        </w:rPr>
        <w:t>Inside EPA - 06/07/2013, Vol. 34, No. 23</w:t>
      </w:r>
      <w:r w:rsidRPr="00CD035B">
        <w:rPr>
          <w:rFonts w:ascii="Arial" w:hAnsi="Arial" w:cs="Arial"/>
          <w:color w:val="000000"/>
          <w:sz w:val="17"/>
        </w:rPr>
        <w:t> </w:t>
      </w:r>
    </w:p>
    <w:sectPr w:rsidR="00370C03" w:rsidSect="000578D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CD035B"/>
    <w:rsid w:val="00017FCB"/>
    <w:rsid w:val="000578D9"/>
    <w:rsid w:val="00370C03"/>
    <w:rsid w:val="005D69AC"/>
    <w:rsid w:val="006611E3"/>
    <w:rsid w:val="009348D3"/>
    <w:rsid w:val="00B0036C"/>
    <w:rsid w:val="00CD035B"/>
    <w:rsid w:val="00DA321D"/>
    <w:rsid w:val="00E1488A"/>
    <w:rsid w:val="00F17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8D9"/>
    <w:rPr>
      <w:sz w:val="24"/>
      <w:szCs w:val="24"/>
    </w:rPr>
  </w:style>
  <w:style w:type="paragraph" w:styleId="Heading1">
    <w:name w:val="heading 1"/>
    <w:basedOn w:val="Normal"/>
    <w:link w:val="Heading1Char"/>
    <w:uiPriority w:val="9"/>
    <w:qFormat/>
    <w:rsid w:val="00CD035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5B"/>
    <w:rPr>
      <w:b/>
      <w:bCs/>
      <w:kern w:val="36"/>
      <w:sz w:val="48"/>
      <w:szCs w:val="48"/>
    </w:rPr>
  </w:style>
  <w:style w:type="paragraph" w:styleId="NormalWeb">
    <w:name w:val="Normal (Web)"/>
    <w:basedOn w:val="Normal"/>
    <w:uiPriority w:val="99"/>
    <w:unhideWhenUsed/>
    <w:rsid w:val="00CD035B"/>
    <w:pPr>
      <w:spacing w:before="100" w:beforeAutospacing="1" w:after="100" w:afterAutospacing="1"/>
    </w:pPr>
  </w:style>
  <w:style w:type="character" w:customStyle="1" w:styleId="apple-converted-space">
    <w:name w:val="apple-converted-space"/>
    <w:basedOn w:val="DefaultParagraphFont"/>
    <w:rsid w:val="00CD035B"/>
  </w:style>
  <w:style w:type="character" w:styleId="Emphasis">
    <w:name w:val="Emphasis"/>
    <w:basedOn w:val="DefaultParagraphFont"/>
    <w:uiPriority w:val="20"/>
    <w:qFormat/>
    <w:rsid w:val="00CD035B"/>
    <w:rPr>
      <w:i/>
      <w:iCs/>
    </w:rPr>
  </w:style>
</w:styles>
</file>

<file path=word/webSettings.xml><?xml version="1.0" encoding="utf-8"?>
<w:webSettings xmlns:r="http://schemas.openxmlformats.org/officeDocument/2006/relationships" xmlns:w="http://schemas.openxmlformats.org/wordprocessingml/2006/main">
  <w:divs>
    <w:div w:id="8144299">
      <w:bodyDiv w:val="1"/>
      <w:marLeft w:val="0"/>
      <w:marRight w:val="0"/>
      <w:marTop w:val="0"/>
      <w:marBottom w:val="0"/>
      <w:divBdr>
        <w:top w:val="none" w:sz="0" w:space="0" w:color="auto"/>
        <w:left w:val="none" w:sz="0" w:space="0" w:color="auto"/>
        <w:bottom w:val="none" w:sz="0" w:space="0" w:color="auto"/>
        <w:right w:val="none" w:sz="0" w:space="0" w:color="auto"/>
      </w:divBdr>
      <w:divsChild>
        <w:div w:id="1971546817">
          <w:marLeft w:val="0"/>
          <w:marRight w:val="0"/>
          <w:marTop w:val="30"/>
          <w:marBottom w:val="60"/>
          <w:divBdr>
            <w:top w:val="none" w:sz="0" w:space="0" w:color="auto"/>
            <w:left w:val="none" w:sz="0" w:space="0" w:color="auto"/>
            <w:bottom w:val="none" w:sz="0" w:space="0" w:color="auto"/>
            <w:right w:val="none" w:sz="0" w:space="0" w:color="auto"/>
          </w:divBdr>
        </w:div>
        <w:div w:id="228735058">
          <w:marLeft w:val="0"/>
          <w:marRight w:val="0"/>
          <w:marTop w:val="120"/>
          <w:marBottom w:val="180"/>
          <w:divBdr>
            <w:top w:val="single" w:sz="6" w:space="3" w:color="E9E9E9"/>
            <w:left w:val="none" w:sz="0" w:space="0" w:color="auto"/>
            <w:bottom w:val="single" w:sz="6" w:space="3" w:color="E9E9E9"/>
            <w:right w:val="none" w:sz="0" w:space="0" w:color="auto"/>
          </w:divBdr>
        </w:div>
        <w:div w:id="860245354">
          <w:marLeft w:val="0"/>
          <w:marRight w:val="0"/>
          <w:marTop w:val="0"/>
          <w:marBottom w:val="21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1316</Words>
  <Characters>7140</Characters>
  <Application>Microsoft Office Word</Application>
  <DocSecurity>0</DocSecurity>
  <Lines>59</Lines>
  <Paragraphs>16</Paragraphs>
  <ScaleCrop>false</ScaleCrop>
  <Company>Microsoft</Company>
  <LinksUpToDate>false</LinksUpToDate>
  <CharactersWithSpaces>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1</cp:revision>
  <dcterms:created xsi:type="dcterms:W3CDTF">2013-06-11T17:50:00Z</dcterms:created>
  <dcterms:modified xsi:type="dcterms:W3CDTF">2013-06-11T17:51:00Z</dcterms:modified>
</cp:coreProperties>
</file>