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BAE" w:rsidRDefault="00F82BAE" w:rsidP="00F82BAE">
      <w:pPr>
        <w:rPr>
          <w:rFonts w:ascii="Verdana" w:hAnsi="Verdana"/>
          <w:b/>
          <w:bCs/>
          <w:i/>
          <w:iCs/>
          <w:color w:val="000066"/>
          <w:sz w:val="18"/>
          <w:szCs w:val="18"/>
        </w:rPr>
      </w:pPr>
      <w:r>
        <w:rPr>
          <w:rFonts w:ascii="Verdana" w:hAnsi="Verdana"/>
          <w:b/>
          <w:bCs/>
          <w:i/>
          <w:iCs/>
          <w:color w:val="000066"/>
          <w:sz w:val="18"/>
          <w:szCs w:val="18"/>
        </w:rPr>
        <w:t>On the Cutting Edge: An Insider's Perspective</w:t>
      </w:r>
    </w:p>
    <w:p w:rsidR="00F82BAE" w:rsidRDefault="00F82BAE" w:rsidP="00F82BAE">
      <w:pPr>
        <w:rPr>
          <w:rFonts w:ascii="Verdana" w:hAnsi="Verdana"/>
          <w:b/>
          <w:bCs/>
          <w:color w:val="993366"/>
          <w:sz w:val="21"/>
          <w:szCs w:val="21"/>
        </w:rPr>
      </w:pPr>
      <w:r>
        <w:rPr>
          <w:rFonts w:ascii="Verdana" w:hAnsi="Verdana"/>
          <w:b/>
          <w:bCs/>
          <w:color w:val="993366"/>
          <w:sz w:val="21"/>
          <w:szCs w:val="21"/>
        </w:rPr>
        <w:t>EPA's Guidance on Liability Defenses</w:t>
      </w:r>
      <w:r>
        <w:rPr>
          <w:rFonts w:ascii="Verdana" w:hAnsi="Verdana"/>
          <w:b/>
          <w:bCs/>
          <w:color w:val="993366"/>
          <w:sz w:val="21"/>
          <w:szCs w:val="21"/>
        </w:rPr>
        <w:br/>
        <w:t>Not Working as Intended, Parties Say</w:t>
      </w:r>
    </w:p>
    <w:p w:rsidR="00F82BAE" w:rsidRDefault="00F82BAE" w:rsidP="00F82BAE">
      <w:r>
        <w:rPr>
          <w:noProof/>
        </w:rPr>
        <w:drawing>
          <wp:inline distT="0" distB="0" distL="0" distR="0">
            <wp:extent cx="1524000" cy="1143000"/>
            <wp:effectExtent l="19050" t="0" r="0" b="0"/>
            <wp:docPr id="1" name="Picture 1" descr="Brownfie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ownfields"/>
                    <pic:cNvPicPr>
                      <a:picLocks noChangeAspect="1" noChangeArrowheads="1"/>
                    </pic:cNvPicPr>
                  </pic:nvPicPr>
                  <pic:blipFill>
                    <a:blip r:embed="rId4" cstate="print"/>
                    <a:srcRect/>
                    <a:stretch>
                      <a:fillRect/>
                    </a:stretch>
                  </pic:blipFill>
                  <pic:spPr bwMode="auto">
                    <a:xfrm>
                      <a:off x="0" y="0"/>
                      <a:ext cx="1524000" cy="1143000"/>
                    </a:xfrm>
                    <a:prstGeom prst="rect">
                      <a:avLst/>
                    </a:prstGeom>
                    <a:noFill/>
                    <a:ln w="9525">
                      <a:noFill/>
                      <a:miter lim="800000"/>
                      <a:headEnd/>
                      <a:tailEnd/>
                    </a:ln>
                  </pic:spPr>
                </pic:pic>
              </a:graphicData>
            </a:graphic>
          </wp:inline>
        </w:drawing>
      </w:r>
      <w:bookmarkStart w:id="0" w:name="a0e2j6q2q3"/>
      <w:bookmarkEnd w:id="0"/>
    </w:p>
    <w:p w:rsidR="00F82BAE" w:rsidRDefault="00F82BAE" w:rsidP="00F82BAE">
      <w:pPr>
        <w:shd w:val="clear" w:color="auto" w:fill="597293"/>
        <w:jc w:val="center"/>
        <w:rPr>
          <w:rFonts w:ascii="Verdana" w:hAnsi="Verdana"/>
          <w:b/>
          <w:bCs/>
          <w:color w:val="FFFFFF"/>
        </w:rPr>
      </w:pPr>
      <w:r>
        <w:rPr>
          <w:rFonts w:ascii="Verdana" w:hAnsi="Verdana"/>
          <w:b/>
          <w:bCs/>
          <w:color w:val="FFFFFF"/>
        </w:rPr>
        <w:t>BNA Snapshot</w:t>
      </w:r>
    </w:p>
    <w:p w:rsidR="00F82BAE" w:rsidRDefault="00F82BAE" w:rsidP="00F82BAE">
      <w:pPr>
        <w:shd w:val="clear" w:color="auto" w:fill="EFF2F5"/>
        <w:rPr>
          <w:rFonts w:ascii="Verdana" w:hAnsi="Verdana"/>
          <w:color w:val="000000"/>
          <w:sz w:val="18"/>
          <w:szCs w:val="18"/>
        </w:rPr>
      </w:pPr>
      <w:bookmarkStart w:id="1" w:name="a0e2j6q2q4"/>
      <w:bookmarkEnd w:id="1"/>
      <w:r>
        <w:rPr>
          <w:rFonts w:ascii="Verdana" w:hAnsi="Verdana"/>
          <w:color w:val="000000"/>
          <w:sz w:val="18"/>
          <w:szCs w:val="18"/>
        </w:rPr>
        <w:t>Brownfield Liability Defenses</w:t>
      </w:r>
    </w:p>
    <w:p w:rsidR="00F82BAE" w:rsidRDefault="00F82BAE" w:rsidP="00F82BAE">
      <w:pPr>
        <w:shd w:val="clear" w:color="auto" w:fill="EFF2F5"/>
        <w:rPr>
          <w:rFonts w:ascii="Verdana" w:hAnsi="Verdana"/>
          <w:color w:val="000000"/>
          <w:sz w:val="18"/>
          <w:szCs w:val="18"/>
        </w:rPr>
      </w:pPr>
      <w:bookmarkStart w:id="2" w:name="a0e2j6q2q5"/>
      <w:bookmarkEnd w:id="2"/>
      <w:r>
        <w:rPr>
          <w:rStyle w:val="emphb"/>
          <w:rFonts w:ascii="Verdana" w:hAnsi="Verdana"/>
          <w:b/>
          <w:bCs/>
          <w:color w:val="000000"/>
          <w:sz w:val="18"/>
          <w:szCs w:val="18"/>
        </w:rPr>
        <w:t>Key Development:</w:t>
      </w:r>
      <w:r>
        <w:rPr>
          <w:rStyle w:val="apple-converted-space"/>
          <w:rFonts w:ascii="Verdana" w:hAnsi="Verdana"/>
          <w:color w:val="000000"/>
          <w:sz w:val="18"/>
          <w:szCs w:val="18"/>
        </w:rPr>
        <w:t> </w:t>
      </w:r>
      <w:r>
        <w:rPr>
          <w:rFonts w:ascii="Verdana" w:hAnsi="Verdana"/>
          <w:color w:val="000000"/>
          <w:sz w:val="18"/>
          <w:szCs w:val="18"/>
        </w:rPr>
        <w:t>EPA guidance issued in 2003 on landowner liability protections in brownfields redevelopment is not working as intended, but affected parties disagree on whether the guidance should be revised.</w:t>
      </w:r>
    </w:p>
    <w:p w:rsidR="00F82BAE" w:rsidRDefault="00F82BAE" w:rsidP="00F82BAE">
      <w:pPr>
        <w:shd w:val="clear" w:color="auto" w:fill="EFF2F5"/>
        <w:rPr>
          <w:rFonts w:ascii="Verdana" w:hAnsi="Verdana"/>
          <w:color w:val="000000"/>
          <w:sz w:val="18"/>
          <w:szCs w:val="18"/>
        </w:rPr>
      </w:pPr>
    </w:p>
    <w:p w:rsidR="00F82BAE" w:rsidRDefault="00F82BAE" w:rsidP="00F82BAE">
      <w:pPr>
        <w:shd w:val="clear" w:color="auto" w:fill="EFF2F5"/>
        <w:rPr>
          <w:rFonts w:ascii="Verdana" w:hAnsi="Verdana"/>
          <w:color w:val="000000"/>
          <w:sz w:val="18"/>
          <w:szCs w:val="18"/>
        </w:rPr>
      </w:pPr>
      <w:bookmarkStart w:id="3" w:name="a0e2j6q2q6"/>
      <w:bookmarkEnd w:id="3"/>
      <w:r>
        <w:rPr>
          <w:rStyle w:val="emphb"/>
          <w:rFonts w:ascii="Verdana" w:hAnsi="Verdana"/>
          <w:b/>
          <w:bCs/>
          <w:color w:val="000000"/>
          <w:sz w:val="18"/>
          <w:szCs w:val="18"/>
        </w:rPr>
        <w:t xml:space="preserve">What's </w:t>
      </w:r>
      <w:proofErr w:type="gramStart"/>
      <w:r>
        <w:rPr>
          <w:rStyle w:val="emphb"/>
          <w:rFonts w:ascii="Verdana" w:hAnsi="Verdana"/>
          <w:b/>
          <w:bCs/>
          <w:color w:val="000000"/>
          <w:sz w:val="18"/>
          <w:szCs w:val="18"/>
        </w:rPr>
        <w:t>Next</w:t>
      </w:r>
      <w:proofErr w:type="gramEnd"/>
      <w:r>
        <w:rPr>
          <w:rStyle w:val="emphb"/>
          <w:rFonts w:ascii="Verdana" w:hAnsi="Verdana"/>
          <w:b/>
          <w:bCs/>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EPA says the guidance may be revised as the agency gains more experience in implementing the 2002 Brownfields Law.</w:t>
      </w:r>
    </w:p>
    <w:p w:rsidR="00F82BAE" w:rsidRDefault="00F82BAE" w:rsidP="00F82BAE">
      <w:pPr>
        <w:shd w:val="clear" w:color="auto" w:fill="EFF2F5"/>
        <w:rPr>
          <w:rFonts w:ascii="Verdana" w:hAnsi="Verdana"/>
          <w:color w:val="000000"/>
          <w:sz w:val="18"/>
          <w:szCs w:val="18"/>
        </w:rPr>
      </w:pPr>
    </w:p>
    <w:p w:rsidR="00F82BAE" w:rsidRDefault="00F82BAE" w:rsidP="00F82BAE">
      <w:pPr>
        <w:rPr>
          <w:rFonts w:ascii="Verdana" w:hAnsi="Verdana"/>
          <w:color w:val="000000"/>
          <w:sz w:val="18"/>
          <w:szCs w:val="18"/>
        </w:rPr>
      </w:pPr>
      <w:bookmarkStart w:id="4" w:name="a0e2j6q2q7"/>
      <w:bookmarkEnd w:id="4"/>
      <w:r>
        <w:rPr>
          <w:rFonts w:ascii="Verdana" w:hAnsi="Verdana"/>
          <w:color w:val="000000"/>
          <w:sz w:val="18"/>
          <w:szCs w:val="18"/>
        </w:rPr>
        <w:t>Guidance issued by the Environmental Protection Agency in 2003 on landowner liability protections following passage of a new brownfields law is not working as intended, but affected parties disagree on whether the guidance should be revised.</w:t>
      </w:r>
    </w:p>
    <w:p w:rsidR="00F82BAE" w:rsidRDefault="00F82BAE" w:rsidP="00F82BAE">
      <w:pPr>
        <w:rPr>
          <w:rFonts w:ascii="Verdana" w:hAnsi="Verdana"/>
          <w:color w:val="000000"/>
          <w:sz w:val="18"/>
          <w:szCs w:val="18"/>
        </w:rPr>
      </w:pPr>
    </w:p>
    <w:p w:rsidR="00F82BAE" w:rsidRDefault="00F82BAE" w:rsidP="00F82BAE">
      <w:pPr>
        <w:rPr>
          <w:rFonts w:ascii="Verdana" w:hAnsi="Verdana"/>
          <w:color w:val="000000"/>
          <w:sz w:val="18"/>
          <w:szCs w:val="18"/>
        </w:rPr>
      </w:pPr>
      <w:bookmarkStart w:id="5" w:name="a0e2j6q2q8"/>
      <w:bookmarkEnd w:id="5"/>
      <w:r>
        <w:rPr>
          <w:rFonts w:ascii="Verdana" w:hAnsi="Verdana"/>
          <w:color w:val="000000"/>
          <w:sz w:val="18"/>
          <w:szCs w:val="18"/>
        </w:rPr>
        <w:t>The</w:t>
      </w:r>
      <w:r>
        <w:rPr>
          <w:rStyle w:val="apple-converted-space"/>
          <w:rFonts w:ascii="Verdana" w:hAnsi="Verdana"/>
          <w:color w:val="000000"/>
          <w:sz w:val="18"/>
          <w:szCs w:val="18"/>
        </w:rPr>
        <w:t> </w:t>
      </w:r>
      <w:hyperlink r:id="rId5" w:tgtFrame="_blank" w:history="1">
        <w:r>
          <w:rPr>
            <w:rStyle w:val="document-link"/>
            <w:rFonts w:ascii="Verdana" w:hAnsi="Verdana"/>
            <w:color w:val="660066"/>
            <w:sz w:val="18"/>
            <w:szCs w:val="18"/>
          </w:rPr>
          <w:t>Common Elements Guidance</w:t>
        </w:r>
      </w:hyperlink>
      <w:r>
        <w:rPr>
          <w:rStyle w:val="apple-converted-space"/>
          <w:rFonts w:ascii="Verdana" w:hAnsi="Verdana"/>
          <w:color w:val="000000"/>
          <w:sz w:val="18"/>
          <w:szCs w:val="18"/>
        </w:rPr>
        <w:t> </w:t>
      </w:r>
      <w:r>
        <w:rPr>
          <w:rFonts w:ascii="Verdana" w:hAnsi="Verdana"/>
          <w:color w:val="000000"/>
          <w:sz w:val="18"/>
          <w:szCs w:val="18"/>
        </w:rPr>
        <w:t>does little to clarify liability defenses for brownfields property owners and developers, and it is not helpful for brownfields development, according to parties interviewed by Bloomberg BNA.</w:t>
      </w:r>
    </w:p>
    <w:p w:rsidR="00F82BAE" w:rsidRDefault="00F82BAE" w:rsidP="00F82BAE">
      <w:pPr>
        <w:rPr>
          <w:rFonts w:ascii="Verdana" w:hAnsi="Verdana"/>
          <w:color w:val="000000"/>
          <w:sz w:val="18"/>
          <w:szCs w:val="18"/>
        </w:rPr>
      </w:pPr>
    </w:p>
    <w:p w:rsidR="00F82BAE" w:rsidRDefault="00F82BAE" w:rsidP="00F82BAE">
      <w:pPr>
        <w:rPr>
          <w:rFonts w:ascii="Verdana" w:hAnsi="Verdana"/>
          <w:color w:val="000000"/>
          <w:sz w:val="18"/>
          <w:szCs w:val="18"/>
        </w:rPr>
      </w:pPr>
      <w:bookmarkStart w:id="6" w:name="a0e2j6q2q9"/>
      <w:bookmarkEnd w:id="6"/>
      <w:r>
        <w:rPr>
          <w:rFonts w:ascii="Verdana" w:hAnsi="Verdana"/>
          <w:color w:val="000000"/>
          <w:sz w:val="18"/>
          <w:szCs w:val="18"/>
        </w:rPr>
        <w:t>“It is definitely time for EPA to revisit some of the statements in its 2003 Common Elements guide,” Amy Edwards, a partner with the law firm Holland &amp; Knight, told Bloomberg BNA in an e-mail.</w:t>
      </w:r>
    </w:p>
    <w:p w:rsidR="00F82BAE" w:rsidRDefault="00F82BAE" w:rsidP="00F82BAE">
      <w:pPr>
        <w:rPr>
          <w:rFonts w:ascii="Verdana" w:hAnsi="Verdana"/>
          <w:color w:val="000000"/>
          <w:sz w:val="18"/>
          <w:szCs w:val="18"/>
        </w:rPr>
      </w:pPr>
    </w:p>
    <w:p w:rsidR="00F82BAE" w:rsidRDefault="00F82BAE" w:rsidP="00F82BAE">
      <w:pPr>
        <w:rPr>
          <w:rFonts w:ascii="Verdana" w:hAnsi="Verdana"/>
          <w:color w:val="000000"/>
          <w:sz w:val="18"/>
          <w:szCs w:val="18"/>
        </w:rPr>
      </w:pPr>
      <w:bookmarkStart w:id="7" w:name="a0e2j6q2r0"/>
      <w:bookmarkEnd w:id="7"/>
      <w:r>
        <w:rPr>
          <w:rFonts w:ascii="Verdana" w:hAnsi="Verdana"/>
          <w:color w:val="000000"/>
          <w:sz w:val="18"/>
          <w:szCs w:val="18"/>
        </w:rPr>
        <w:t>Edwards also said the guidance, which was issued under the Comprehensive Environmental Response, Compensation, and Liability Act, was never subject to public notice and comment.</w:t>
      </w:r>
    </w:p>
    <w:p w:rsidR="00F82BAE" w:rsidRDefault="00F82BAE" w:rsidP="00F82BAE">
      <w:pPr>
        <w:rPr>
          <w:rFonts w:ascii="Verdana" w:hAnsi="Verdana"/>
          <w:color w:val="000000"/>
          <w:sz w:val="18"/>
          <w:szCs w:val="18"/>
        </w:rPr>
      </w:pPr>
      <w:bookmarkStart w:id="8" w:name="a0e2j6q2r1"/>
      <w:bookmarkEnd w:id="8"/>
      <w:r>
        <w:rPr>
          <w:rFonts w:ascii="Verdana" w:hAnsi="Verdana"/>
          <w:color w:val="000000"/>
          <w:sz w:val="18"/>
          <w:szCs w:val="18"/>
        </w:rPr>
        <w:t>Bill Weissman, a former partner with Venable LLP, agreed that unless the public, and especially developers, are invited to provide input, little would be accomplished by revising the guidance.</w:t>
      </w:r>
    </w:p>
    <w:p w:rsidR="00F82BAE" w:rsidRDefault="00F82BAE" w:rsidP="00F82BAE">
      <w:pPr>
        <w:rPr>
          <w:rFonts w:ascii="Verdana" w:hAnsi="Verdana"/>
          <w:color w:val="000000"/>
          <w:sz w:val="18"/>
          <w:szCs w:val="18"/>
        </w:rPr>
      </w:pPr>
      <w:bookmarkStart w:id="9" w:name="a0e2j6q2r2"/>
      <w:bookmarkEnd w:id="9"/>
    </w:p>
    <w:p w:rsidR="00F82BAE" w:rsidRDefault="00F82BAE" w:rsidP="00F82BAE">
      <w:pPr>
        <w:rPr>
          <w:rFonts w:ascii="Verdana" w:hAnsi="Verdana"/>
          <w:color w:val="000000"/>
          <w:sz w:val="18"/>
          <w:szCs w:val="18"/>
        </w:rPr>
      </w:pPr>
      <w:r>
        <w:rPr>
          <w:rFonts w:ascii="Verdana" w:hAnsi="Verdana"/>
          <w:color w:val="000000"/>
          <w:sz w:val="18"/>
          <w:szCs w:val="18"/>
        </w:rPr>
        <w:t>Even with public input, Weissman was skeptical that any EPA revisions would be better than the existing guidance and in fact could make the situation worse.</w:t>
      </w:r>
    </w:p>
    <w:p w:rsidR="00F82BAE" w:rsidRDefault="00F82BAE" w:rsidP="00F82BAE">
      <w:pPr>
        <w:rPr>
          <w:rFonts w:ascii="Verdana" w:hAnsi="Verdana"/>
          <w:color w:val="000000"/>
          <w:sz w:val="18"/>
          <w:szCs w:val="18"/>
        </w:rPr>
      </w:pPr>
      <w:bookmarkStart w:id="10" w:name="a0e2j6q2r3"/>
      <w:bookmarkEnd w:id="10"/>
    </w:p>
    <w:p w:rsidR="00F82BAE" w:rsidRDefault="00F82BAE" w:rsidP="00F82BAE">
      <w:pPr>
        <w:rPr>
          <w:rFonts w:ascii="Verdana" w:hAnsi="Verdana"/>
          <w:color w:val="000000"/>
          <w:sz w:val="18"/>
          <w:szCs w:val="18"/>
        </w:rPr>
      </w:pPr>
      <w:r>
        <w:rPr>
          <w:rFonts w:ascii="Verdana" w:hAnsi="Verdana"/>
          <w:color w:val="000000"/>
          <w:sz w:val="18"/>
          <w:szCs w:val="18"/>
        </w:rPr>
        <w:t>If superfund enforcers take the lead in drafting revisions, “there is very little chance that a document that generously promotes the brownfields development incentives that the CERCLA defenses were intended to achieve will emerge,” he said.</w:t>
      </w:r>
    </w:p>
    <w:p w:rsidR="00F82BAE" w:rsidRDefault="00F82BAE" w:rsidP="00F82BAE">
      <w:pPr>
        <w:rPr>
          <w:rFonts w:ascii="Verdana" w:hAnsi="Verdana"/>
          <w:b/>
          <w:bCs/>
          <w:color w:val="000000"/>
          <w:sz w:val="18"/>
          <w:szCs w:val="18"/>
        </w:rPr>
      </w:pPr>
      <w:bookmarkStart w:id="11" w:name="a0e2j6q2r4"/>
      <w:bookmarkEnd w:id="11"/>
    </w:p>
    <w:p w:rsidR="00F82BAE" w:rsidRDefault="00F82BAE" w:rsidP="00F82BAE">
      <w:pPr>
        <w:rPr>
          <w:rFonts w:ascii="Verdana" w:hAnsi="Verdana"/>
          <w:b/>
          <w:bCs/>
          <w:color w:val="000000"/>
          <w:sz w:val="18"/>
          <w:szCs w:val="18"/>
        </w:rPr>
      </w:pPr>
      <w:r>
        <w:rPr>
          <w:rFonts w:ascii="Verdana" w:hAnsi="Verdana"/>
          <w:b/>
          <w:bCs/>
          <w:color w:val="000000"/>
          <w:sz w:val="18"/>
          <w:szCs w:val="18"/>
        </w:rPr>
        <w:t>Brownfields Amendments in 2002</w:t>
      </w:r>
    </w:p>
    <w:p w:rsidR="00F82BAE" w:rsidRDefault="00F82BAE" w:rsidP="00F82BAE">
      <w:pPr>
        <w:rPr>
          <w:rFonts w:ascii="Verdana" w:hAnsi="Verdana"/>
          <w:color w:val="000000"/>
          <w:sz w:val="18"/>
          <w:szCs w:val="18"/>
        </w:rPr>
      </w:pPr>
      <w:bookmarkStart w:id="12" w:name="a0e2j6q2r5"/>
      <w:bookmarkEnd w:id="12"/>
    </w:p>
    <w:p w:rsidR="00F82BAE" w:rsidRDefault="00F82BAE" w:rsidP="00F82BAE">
      <w:pPr>
        <w:rPr>
          <w:rFonts w:ascii="Verdana" w:hAnsi="Verdana"/>
          <w:color w:val="000000"/>
          <w:sz w:val="18"/>
          <w:szCs w:val="18"/>
        </w:rPr>
      </w:pPr>
      <w:r>
        <w:rPr>
          <w:rFonts w:ascii="Verdana" w:hAnsi="Verdana"/>
          <w:color w:val="000000"/>
          <w:sz w:val="18"/>
          <w:szCs w:val="18"/>
        </w:rPr>
        <w:t>In 2002, President Bush signed the Small Business Liability Relief and Brownfields Revitalization Act (Pub. L. No. 107-118). The law amended CERCLA by providing funds to assess and clean up brownfields, as well as funds to enhance state and tribal response programs. The law also clarified CERCLA liability protections. The amendments were intended to encourage cleanup and redevelopment of brownfield sites by offering those incentives.</w:t>
      </w:r>
    </w:p>
    <w:p w:rsidR="00F82BAE" w:rsidRDefault="00F82BAE" w:rsidP="00F82BAE">
      <w:pPr>
        <w:rPr>
          <w:rFonts w:ascii="Verdana" w:hAnsi="Verdana"/>
          <w:color w:val="000000"/>
          <w:sz w:val="18"/>
          <w:szCs w:val="18"/>
        </w:rPr>
      </w:pPr>
      <w:bookmarkStart w:id="13" w:name="a0e2j6q2r7"/>
      <w:bookmarkEnd w:id="13"/>
    </w:p>
    <w:p w:rsidR="00F82BAE" w:rsidRDefault="00F82BAE" w:rsidP="00F82BAE">
      <w:pPr>
        <w:rPr>
          <w:rFonts w:ascii="Verdana" w:hAnsi="Verdana"/>
          <w:color w:val="000000"/>
          <w:sz w:val="18"/>
          <w:szCs w:val="18"/>
        </w:rPr>
      </w:pPr>
      <w:r>
        <w:rPr>
          <w:rFonts w:ascii="Verdana" w:hAnsi="Verdana"/>
          <w:color w:val="000000"/>
          <w:sz w:val="18"/>
          <w:szCs w:val="18"/>
        </w:rPr>
        <w:t>In March 2003, the EPA Office of Site Remediation Enforcement issued the document titled, “Interim Guidance Regarding Criteria Landowners Must Meet in Order to Qualify for Bona Fide Prospective Purchaser, Contiguous Property Owner, or Innocent Landowner Limitations on CERCLA Liability” ((</w:t>
      </w:r>
      <w:hyperlink r:id="rId6" w:tgtFrame="_top" w:history="1">
        <w:r>
          <w:rPr>
            <w:rStyle w:val="Hyperlink"/>
            <w:rFonts w:ascii="Verdana" w:hAnsi="Verdana"/>
            <w:color w:val="660066"/>
            <w:sz w:val="18"/>
            <w:szCs w:val="18"/>
            <w:u w:val="none"/>
          </w:rPr>
          <w:t>12 EDDG 29, 4/17/03</w:t>
        </w:r>
      </w:hyperlink>
      <w:r>
        <w:rPr>
          <w:rFonts w:ascii="Verdana" w:hAnsi="Verdana"/>
          <w:color w:val="000000"/>
          <w:sz w:val="18"/>
          <w:szCs w:val="18"/>
        </w:rPr>
        <w:t>) to provide agency personnel with general guidance on the “common elements” of CERCLA landowner liability protections.</w:t>
      </w:r>
    </w:p>
    <w:p w:rsidR="00F82BAE" w:rsidRDefault="00F82BAE" w:rsidP="00F82BAE">
      <w:pPr>
        <w:rPr>
          <w:rFonts w:ascii="Verdana" w:hAnsi="Verdana"/>
          <w:color w:val="000000"/>
          <w:sz w:val="18"/>
          <w:szCs w:val="18"/>
        </w:rPr>
      </w:pPr>
      <w:bookmarkStart w:id="14" w:name="a0e2j6q2t0"/>
      <w:bookmarkEnd w:id="14"/>
      <w:r>
        <w:rPr>
          <w:rFonts w:ascii="Verdana" w:hAnsi="Verdana"/>
          <w:color w:val="000000"/>
          <w:sz w:val="18"/>
          <w:szCs w:val="18"/>
        </w:rPr>
        <w:lastRenderedPageBreak/>
        <w:t>The “common elements” are the statutory threshold criteria and ongoing obligations a landowner must meet to qualify as (1) a bona fide prospective purchaser (BFPP), (2) a contiguous property owner or (3) an innocent landowner, according to the EPA. Parties who qualify for one of these three defenses have conditional CERCLA liability protection.</w:t>
      </w:r>
    </w:p>
    <w:p w:rsidR="00F82BAE" w:rsidRDefault="00F82BAE" w:rsidP="00F82BAE">
      <w:pPr>
        <w:rPr>
          <w:rFonts w:ascii="Verdana" w:hAnsi="Verdana"/>
          <w:color w:val="000000"/>
          <w:sz w:val="18"/>
          <w:szCs w:val="18"/>
        </w:rPr>
      </w:pPr>
      <w:bookmarkStart w:id="15" w:name="a0e2j6q2t2"/>
      <w:bookmarkEnd w:id="15"/>
    </w:p>
    <w:p w:rsidR="00F82BAE" w:rsidRDefault="00F82BAE" w:rsidP="00F82BAE">
      <w:pPr>
        <w:rPr>
          <w:rFonts w:ascii="Verdana" w:hAnsi="Verdana"/>
          <w:color w:val="000000"/>
          <w:sz w:val="18"/>
          <w:szCs w:val="18"/>
        </w:rPr>
      </w:pPr>
      <w:r>
        <w:rPr>
          <w:rFonts w:ascii="Verdana" w:hAnsi="Verdana"/>
          <w:color w:val="000000"/>
          <w:sz w:val="18"/>
          <w:szCs w:val="18"/>
        </w:rPr>
        <w:t>“Many of the statements in the 2003 guide regarding what is needed to qualify for the Landowner Liability Protections (LLPs) are not practical in the real world, essentially making it impossible for many brownfields redevelopers to successfully defend their status as a BFPP if challenged in court,” Edwards said.</w:t>
      </w:r>
    </w:p>
    <w:p w:rsidR="00F82BAE" w:rsidRDefault="00F82BAE" w:rsidP="00F82BAE">
      <w:pPr>
        <w:rPr>
          <w:rFonts w:ascii="Verdana" w:hAnsi="Verdana"/>
          <w:color w:val="000000"/>
          <w:sz w:val="18"/>
          <w:szCs w:val="18"/>
        </w:rPr>
      </w:pPr>
      <w:bookmarkStart w:id="16" w:name="a0e2j6q2t3"/>
      <w:bookmarkEnd w:id="16"/>
    </w:p>
    <w:p w:rsidR="00F82BAE" w:rsidRDefault="00F82BAE" w:rsidP="00F82BAE">
      <w:pPr>
        <w:rPr>
          <w:rFonts w:ascii="Verdana" w:hAnsi="Verdana"/>
          <w:color w:val="000000"/>
          <w:sz w:val="18"/>
          <w:szCs w:val="18"/>
        </w:rPr>
      </w:pPr>
      <w:r>
        <w:rPr>
          <w:rFonts w:ascii="Verdana" w:hAnsi="Verdana"/>
          <w:color w:val="000000"/>
          <w:sz w:val="18"/>
          <w:szCs w:val="18"/>
        </w:rPr>
        <w:t>“This was certainly not Congress's intent,” she said.</w:t>
      </w:r>
    </w:p>
    <w:p w:rsidR="00F82BAE" w:rsidRDefault="00F82BAE" w:rsidP="00F82BAE">
      <w:pPr>
        <w:rPr>
          <w:rFonts w:ascii="Verdana" w:hAnsi="Verdana"/>
          <w:color w:val="000000"/>
          <w:sz w:val="18"/>
          <w:szCs w:val="18"/>
        </w:rPr>
      </w:pPr>
      <w:bookmarkStart w:id="17" w:name="a0e2j6q2t4"/>
      <w:bookmarkEnd w:id="17"/>
    </w:p>
    <w:p w:rsidR="00F82BAE" w:rsidRDefault="00F82BAE" w:rsidP="00F82BAE">
      <w:pPr>
        <w:rPr>
          <w:rFonts w:ascii="Verdana" w:hAnsi="Verdana"/>
          <w:color w:val="000000"/>
          <w:sz w:val="18"/>
          <w:szCs w:val="18"/>
        </w:rPr>
      </w:pPr>
      <w:r>
        <w:rPr>
          <w:rFonts w:ascii="Verdana" w:hAnsi="Verdana"/>
          <w:color w:val="000000"/>
          <w:sz w:val="18"/>
          <w:szCs w:val="18"/>
        </w:rPr>
        <w:t>Weissman said the legislative history of the brownfields amendments “clearly” shows the intent to provide generous liability protections to create incentives for developing abandoned properties.</w:t>
      </w:r>
    </w:p>
    <w:p w:rsidR="00F82BAE" w:rsidRDefault="00F82BAE" w:rsidP="00F82BAE">
      <w:pPr>
        <w:rPr>
          <w:rFonts w:ascii="Verdana" w:hAnsi="Verdana"/>
          <w:color w:val="000000"/>
          <w:sz w:val="18"/>
          <w:szCs w:val="18"/>
        </w:rPr>
      </w:pPr>
      <w:bookmarkStart w:id="18" w:name="a0e2j6q2t5"/>
      <w:bookmarkEnd w:id="18"/>
    </w:p>
    <w:p w:rsidR="00F82BAE" w:rsidRDefault="00F82BAE" w:rsidP="00F82BAE">
      <w:pPr>
        <w:rPr>
          <w:rFonts w:ascii="Verdana" w:hAnsi="Verdana"/>
          <w:color w:val="000000"/>
          <w:sz w:val="18"/>
          <w:szCs w:val="18"/>
        </w:rPr>
      </w:pPr>
      <w:r>
        <w:rPr>
          <w:rFonts w:ascii="Verdana" w:hAnsi="Verdana"/>
          <w:color w:val="000000"/>
          <w:sz w:val="18"/>
          <w:szCs w:val="18"/>
        </w:rPr>
        <w:t>However, “to be sure, the problem begins with Congress,” he said. Although it prescribed a set of eligibility conditions by which developers could qualify for CERCLA liability protection, it sometimes used terms without defining them, Weissman said.</w:t>
      </w:r>
    </w:p>
    <w:p w:rsidR="00F82BAE" w:rsidRDefault="00F82BAE" w:rsidP="00F82BAE">
      <w:pPr>
        <w:rPr>
          <w:rFonts w:ascii="Verdana" w:hAnsi="Verdana"/>
          <w:color w:val="000000"/>
          <w:sz w:val="18"/>
          <w:szCs w:val="18"/>
        </w:rPr>
      </w:pPr>
      <w:bookmarkStart w:id="19" w:name="a0e2j6q2t6"/>
      <w:bookmarkEnd w:id="19"/>
    </w:p>
    <w:p w:rsidR="00F82BAE" w:rsidRDefault="00F82BAE" w:rsidP="00F82BAE">
      <w:pPr>
        <w:rPr>
          <w:rFonts w:ascii="Verdana" w:hAnsi="Verdana"/>
          <w:color w:val="000000"/>
          <w:sz w:val="18"/>
          <w:szCs w:val="18"/>
        </w:rPr>
      </w:pPr>
      <w:r>
        <w:rPr>
          <w:rFonts w:ascii="Verdana" w:hAnsi="Verdana"/>
          <w:color w:val="000000"/>
          <w:sz w:val="18"/>
          <w:szCs w:val="18"/>
        </w:rPr>
        <w:t>The Common Elements Guidance gave those terms “their narrowest possible construction,” he said.</w:t>
      </w:r>
    </w:p>
    <w:p w:rsidR="00F82BAE" w:rsidRDefault="00F82BAE" w:rsidP="00F82BAE">
      <w:pPr>
        <w:rPr>
          <w:rFonts w:ascii="Verdana" w:hAnsi="Verdana"/>
          <w:color w:val="000000"/>
          <w:sz w:val="18"/>
          <w:szCs w:val="18"/>
        </w:rPr>
      </w:pPr>
      <w:bookmarkStart w:id="20" w:name="a0e2j6q2t7"/>
      <w:bookmarkEnd w:id="20"/>
    </w:p>
    <w:p w:rsidR="00F82BAE" w:rsidRDefault="00F82BAE" w:rsidP="00F82BAE">
      <w:pPr>
        <w:rPr>
          <w:rFonts w:ascii="Verdana" w:hAnsi="Verdana"/>
          <w:color w:val="000000"/>
          <w:sz w:val="18"/>
          <w:szCs w:val="18"/>
        </w:rPr>
      </w:pPr>
      <w:r>
        <w:rPr>
          <w:rFonts w:ascii="Verdana" w:hAnsi="Verdana"/>
          <w:color w:val="000000"/>
          <w:sz w:val="18"/>
          <w:szCs w:val="18"/>
        </w:rPr>
        <w:t xml:space="preserve">Despite the criticism of the document, the EPA has not given any indication that it intends to revise the guidance. It may look at the need for new or updated policy as appropriate or </w:t>
      </w:r>
      <w:proofErr w:type="gramStart"/>
      <w:r>
        <w:rPr>
          <w:rFonts w:ascii="Verdana" w:hAnsi="Verdana"/>
          <w:color w:val="000000"/>
          <w:sz w:val="18"/>
          <w:szCs w:val="18"/>
        </w:rPr>
        <w:t>necessary,</w:t>
      </w:r>
      <w:proofErr w:type="gramEnd"/>
      <w:r>
        <w:rPr>
          <w:rFonts w:ascii="Verdana" w:hAnsi="Verdana"/>
          <w:color w:val="000000"/>
          <w:sz w:val="18"/>
          <w:szCs w:val="18"/>
        </w:rPr>
        <w:t xml:space="preserve"> the agency told Bloomberg BNA in an e-mail.</w:t>
      </w:r>
    </w:p>
    <w:p w:rsidR="00F82BAE" w:rsidRDefault="00F82BAE" w:rsidP="00F82BAE">
      <w:pPr>
        <w:rPr>
          <w:rFonts w:ascii="Verdana" w:hAnsi="Verdana"/>
          <w:b/>
          <w:bCs/>
          <w:color w:val="000000"/>
          <w:sz w:val="18"/>
          <w:szCs w:val="18"/>
        </w:rPr>
      </w:pPr>
      <w:bookmarkStart w:id="21" w:name="a0e2j6q2t8"/>
      <w:bookmarkEnd w:id="21"/>
    </w:p>
    <w:p w:rsidR="00F82BAE" w:rsidRDefault="00F82BAE" w:rsidP="00F82BAE">
      <w:pPr>
        <w:rPr>
          <w:rFonts w:ascii="Verdana" w:hAnsi="Verdana"/>
          <w:b/>
          <w:bCs/>
          <w:color w:val="000000"/>
          <w:sz w:val="18"/>
          <w:szCs w:val="18"/>
        </w:rPr>
      </w:pPr>
      <w:r>
        <w:rPr>
          <w:rFonts w:ascii="Verdana" w:hAnsi="Verdana"/>
          <w:b/>
          <w:bCs/>
          <w:color w:val="000000"/>
          <w:sz w:val="18"/>
          <w:szCs w:val="18"/>
        </w:rPr>
        <w:t>EPA Gave Unrealistic Examples</w:t>
      </w:r>
    </w:p>
    <w:p w:rsidR="00F82BAE" w:rsidRDefault="00F82BAE" w:rsidP="00F82BAE">
      <w:pPr>
        <w:rPr>
          <w:rFonts w:ascii="Verdana" w:hAnsi="Verdana"/>
          <w:color w:val="000000"/>
          <w:sz w:val="18"/>
          <w:szCs w:val="18"/>
        </w:rPr>
      </w:pPr>
      <w:bookmarkStart w:id="22" w:name="a0e2j6q2t9"/>
      <w:bookmarkEnd w:id="22"/>
    </w:p>
    <w:p w:rsidR="00F82BAE" w:rsidRDefault="00F82BAE" w:rsidP="00F82BAE">
      <w:pPr>
        <w:rPr>
          <w:rFonts w:ascii="Verdana" w:hAnsi="Verdana"/>
          <w:color w:val="000000"/>
          <w:sz w:val="18"/>
          <w:szCs w:val="18"/>
        </w:rPr>
      </w:pPr>
      <w:r>
        <w:rPr>
          <w:rFonts w:ascii="Verdana" w:hAnsi="Verdana"/>
          <w:color w:val="000000"/>
          <w:sz w:val="18"/>
          <w:szCs w:val="18"/>
        </w:rPr>
        <w:t>Edwards said that, given the limited case law since passage of the brownfields amendments of 2002, it would be helpful if the EPA clarified some of the “murkier” elements of the defenses by providing better examples of “reasonable steps,” compliance with land use restrictions and “not impeding the effectiveness or integrity of institutional controls.”</w:t>
      </w:r>
    </w:p>
    <w:p w:rsidR="00F82BAE" w:rsidRDefault="00F82BAE" w:rsidP="00F82BAE">
      <w:pPr>
        <w:rPr>
          <w:rFonts w:ascii="Verdana" w:hAnsi="Verdana"/>
          <w:color w:val="000000"/>
          <w:sz w:val="18"/>
          <w:szCs w:val="18"/>
        </w:rPr>
      </w:pPr>
      <w:bookmarkStart w:id="23" w:name="a0e2j6q2u0"/>
      <w:bookmarkEnd w:id="23"/>
    </w:p>
    <w:p w:rsidR="00F82BAE" w:rsidRDefault="00F82BAE" w:rsidP="00F82BAE">
      <w:pPr>
        <w:rPr>
          <w:rFonts w:ascii="Verdana" w:hAnsi="Verdana"/>
          <w:color w:val="000000"/>
          <w:sz w:val="18"/>
          <w:szCs w:val="18"/>
        </w:rPr>
      </w:pPr>
      <w:r>
        <w:rPr>
          <w:rFonts w:ascii="Verdana" w:hAnsi="Verdana"/>
          <w:color w:val="000000"/>
          <w:sz w:val="18"/>
          <w:szCs w:val="18"/>
        </w:rPr>
        <w:t>“Many of the examples given in the 2003 guide were unrealistic, at best,” she said.</w:t>
      </w:r>
    </w:p>
    <w:p w:rsidR="00F82BAE" w:rsidRDefault="00F82BAE" w:rsidP="00F82BAE">
      <w:pPr>
        <w:rPr>
          <w:rFonts w:ascii="Verdana" w:hAnsi="Verdana"/>
          <w:color w:val="000000"/>
          <w:sz w:val="18"/>
          <w:szCs w:val="18"/>
        </w:rPr>
      </w:pPr>
      <w:bookmarkStart w:id="24" w:name="a0e2j6q2u1"/>
      <w:bookmarkEnd w:id="24"/>
    </w:p>
    <w:p w:rsidR="00F82BAE" w:rsidRDefault="00F82BAE" w:rsidP="00F82BAE">
      <w:pPr>
        <w:rPr>
          <w:rFonts w:ascii="Verdana" w:hAnsi="Verdana"/>
          <w:color w:val="000000"/>
          <w:sz w:val="18"/>
          <w:szCs w:val="18"/>
        </w:rPr>
      </w:pPr>
      <w:r>
        <w:rPr>
          <w:rFonts w:ascii="Verdana" w:hAnsi="Verdana"/>
          <w:color w:val="000000"/>
          <w:sz w:val="18"/>
          <w:szCs w:val="18"/>
        </w:rPr>
        <w:t>For example, the EPA stated that an example of “impeding the effectiveness of an institutional control would be if the landowner applies for a zoning change or variance when the current designated use of the property was intended to act as an institutional control,” Edwards said.</w:t>
      </w:r>
    </w:p>
    <w:p w:rsidR="00F82BAE" w:rsidRDefault="00F82BAE" w:rsidP="00F82BAE">
      <w:pPr>
        <w:rPr>
          <w:rFonts w:ascii="Verdana" w:hAnsi="Verdana"/>
          <w:color w:val="000000"/>
          <w:sz w:val="18"/>
          <w:szCs w:val="18"/>
        </w:rPr>
      </w:pPr>
      <w:bookmarkStart w:id="25" w:name="a0e2j6q2u2"/>
      <w:bookmarkEnd w:id="25"/>
    </w:p>
    <w:p w:rsidR="00F82BAE" w:rsidRDefault="00F82BAE" w:rsidP="00F82BAE">
      <w:pPr>
        <w:rPr>
          <w:rFonts w:ascii="Verdana" w:hAnsi="Verdana"/>
          <w:color w:val="000000"/>
          <w:sz w:val="18"/>
          <w:szCs w:val="18"/>
        </w:rPr>
      </w:pPr>
      <w:r>
        <w:rPr>
          <w:rFonts w:ascii="Verdana" w:hAnsi="Verdana"/>
          <w:color w:val="000000"/>
          <w:sz w:val="18"/>
          <w:szCs w:val="18"/>
        </w:rPr>
        <w:t>The EPA's example fails to take into consideration that the zoning change may have been requested for completely legitimate reasons and that the landowner may not have known, or had any reason to know, that zoning was being used as an institutional control (IC), she said.</w:t>
      </w:r>
    </w:p>
    <w:p w:rsidR="00F82BAE" w:rsidRDefault="00F82BAE" w:rsidP="00F82BAE">
      <w:pPr>
        <w:rPr>
          <w:rFonts w:ascii="Verdana" w:hAnsi="Verdana"/>
          <w:b/>
          <w:bCs/>
          <w:color w:val="000000"/>
          <w:sz w:val="18"/>
          <w:szCs w:val="18"/>
        </w:rPr>
      </w:pPr>
      <w:bookmarkStart w:id="26" w:name="a0e2j6q2u3"/>
      <w:bookmarkEnd w:id="26"/>
    </w:p>
    <w:p w:rsidR="00F82BAE" w:rsidRDefault="00F82BAE" w:rsidP="00F82BAE">
      <w:pPr>
        <w:rPr>
          <w:rFonts w:ascii="Verdana" w:hAnsi="Verdana"/>
          <w:b/>
          <w:bCs/>
          <w:color w:val="000000"/>
          <w:sz w:val="18"/>
          <w:szCs w:val="18"/>
        </w:rPr>
      </w:pPr>
      <w:r>
        <w:rPr>
          <w:rFonts w:ascii="Verdana" w:hAnsi="Verdana"/>
          <w:b/>
          <w:bCs/>
          <w:color w:val="000000"/>
          <w:sz w:val="18"/>
          <w:szCs w:val="18"/>
        </w:rPr>
        <w:t xml:space="preserve">Compliance </w:t>
      </w:r>
      <w:proofErr w:type="gramStart"/>
      <w:r>
        <w:rPr>
          <w:rFonts w:ascii="Verdana" w:hAnsi="Verdana"/>
          <w:b/>
          <w:bCs/>
          <w:color w:val="000000"/>
          <w:sz w:val="18"/>
          <w:szCs w:val="18"/>
        </w:rPr>
        <w:t>With</w:t>
      </w:r>
      <w:proofErr w:type="gramEnd"/>
      <w:r>
        <w:rPr>
          <w:rFonts w:ascii="Verdana" w:hAnsi="Verdana"/>
          <w:b/>
          <w:bCs/>
          <w:color w:val="000000"/>
          <w:sz w:val="18"/>
          <w:szCs w:val="18"/>
        </w:rPr>
        <w:t xml:space="preserve"> Institutional Controls</w:t>
      </w:r>
    </w:p>
    <w:p w:rsidR="00F82BAE" w:rsidRDefault="00F82BAE" w:rsidP="00F82BAE">
      <w:pPr>
        <w:rPr>
          <w:rFonts w:ascii="Verdana" w:hAnsi="Verdana"/>
          <w:color w:val="000000"/>
          <w:sz w:val="18"/>
          <w:szCs w:val="18"/>
        </w:rPr>
      </w:pPr>
      <w:bookmarkStart w:id="27" w:name="a0e2j6q2u4"/>
      <w:bookmarkEnd w:id="27"/>
    </w:p>
    <w:p w:rsidR="00F82BAE" w:rsidRDefault="00F82BAE" w:rsidP="00F82BAE">
      <w:pPr>
        <w:rPr>
          <w:rFonts w:ascii="Verdana" w:hAnsi="Verdana"/>
          <w:color w:val="000000"/>
          <w:sz w:val="18"/>
          <w:szCs w:val="18"/>
        </w:rPr>
      </w:pPr>
      <w:r>
        <w:rPr>
          <w:rFonts w:ascii="Verdana" w:hAnsi="Verdana"/>
          <w:color w:val="000000"/>
          <w:sz w:val="18"/>
          <w:szCs w:val="18"/>
        </w:rPr>
        <w:t>Complying with and not impeding an institutional control is one of eight elements of a successful bona fide prospective purchaser defense.</w:t>
      </w:r>
    </w:p>
    <w:p w:rsidR="00F82BAE" w:rsidRDefault="00F82BAE" w:rsidP="00F82BAE">
      <w:pPr>
        <w:rPr>
          <w:rFonts w:ascii="Verdana" w:hAnsi="Verdana"/>
          <w:color w:val="000000"/>
          <w:sz w:val="18"/>
          <w:szCs w:val="18"/>
        </w:rPr>
      </w:pPr>
      <w:bookmarkStart w:id="28" w:name="a0e2j6q2u5"/>
      <w:bookmarkEnd w:id="28"/>
    </w:p>
    <w:p w:rsidR="00F82BAE" w:rsidRDefault="00F82BAE" w:rsidP="00F82BAE">
      <w:pPr>
        <w:rPr>
          <w:rFonts w:ascii="Verdana" w:hAnsi="Verdana"/>
          <w:color w:val="000000"/>
          <w:sz w:val="18"/>
          <w:szCs w:val="18"/>
        </w:rPr>
      </w:pPr>
      <w:r>
        <w:rPr>
          <w:rFonts w:ascii="Verdana" w:hAnsi="Verdana"/>
          <w:color w:val="000000"/>
          <w:sz w:val="18"/>
          <w:szCs w:val="18"/>
        </w:rPr>
        <w:t>Given the better and more durable institutional control tools that are available today, a landowner should never need to “guess” whether zoning is being used as an institutional control or risk losing its defense, Edwards said.</w:t>
      </w:r>
    </w:p>
    <w:p w:rsidR="00F82BAE" w:rsidRDefault="00F82BAE" w:rsidP="00F82BAE">
      <w:pPr>
        <w:rPr>
          <w:rFonts w:ascii="Verdana" w:hAnsi="Verdana"/>
          <w:color w:val="000000"/>
          <w:sz w:val="18"/>
          <w:szCs w:val="18"/>
        </w:rPr>
      </w:pPr>
      <w:bookmarkStart w:id="29" w:name="a0e2j6q2u7"/>
      <w:bookmarkEnd w:id="29"/>
    </w:p>
    <w:p w:rsidR="00F82BAE" w:rsidRDefault="00F82BAE" w:rsidP="00F82BAE">
      <w:pPr>
        <w:rPr>
          <w:rFonts w:ascii="Verdana" w:hAnsi="Verdana"/>
          <w:color w:val="000000"/>
          <w:sz w:val="18"/>
          <w:szCs w:val="18"/>
        </w:rPr>
      </w:pPr>
      <w:r>
        <w:rPr>
          <w:rFonts w:ascii="Verdana" w:hAnsi="Verdana"/>
          <w:color w:val="000000"/>
          <w:sz w:val="18"/>
          <w:szCs w:val="18"/>
        </w:rPr>
        <w:t>Regulated parties have attempted to provide clearer guidance on these issues through ASTM standards E2091 and E2790, Edwards said. In addition, the National Conference of Commissioners on Uniform State Laws has provided a better institutional control “tool”—the environmental covenant—for implementing ICs controls in the first place, she said.</w:t>
      </w:r>
    </w:p>
    <w:p w:rsidR="00F82BAE" w:rsidRDefault="00F82BAE" w:rsidP="00F82BAE">
      <w:pPr>
        <w:rPr>
          <w:rFonts w:ascii="Verdana" w:hAnsi="Verdana"/>
          <w:color w:val="000000"/>
          <w:sz w:val="18"/>
          <w:szCs w:val="18"/>
        </w:rPr>
      </w:pPr>
      <w:bookmarkStart w:id="30" w:name="a0e2j6q2u9"/>
      <w:bookmarkEnd w:id="30"/>
      <w:r>
        <w:rPr>
          <w:rFonts w:ascii="Verdana" w:hAnsi="Verdana"/>
          <w:color w:val="000000"/>
          <w:sz w:val="18"/>
          <w:szCs w:val="18"/>
        </w:rPr>
        <w:lastRenderedPageBreak/>
        <w:t>“EPA needs to update its guidance in light of the improvements that have been made in the basic institutional control ‘tools,’ IC tracking systems, and the like over the past decade,” she said.</w:t>
      </w:r>
    </w:p>
    <w:p w:rsidR="00F82BAE" w:rsidRDefault="00F82BAE" w:rsidP="00F82BAE">
      <w:pPr>
        <w:rPr>
          <w:rFonts w:ascii="Verdana" w:hAnsi="Verdana"/>
          <w:color w:val="000000"/>
          <w:sz w:val="18"/>
          <w:szCs w:val="18"/>
        </w:rPr>
      </w:pPr>
      <w:bookmarkStart w:id="31" w:name="a0e2j6q2v1"/>
      <w:bookmarkEnd w:id="31"/>
    </w:p>
    <w:p w:rsidR="00F82BAE" w:rsidRDefault="00F82BAE" w:rsidP="00F82BAE">
      <w:pPr>
        <w:rPr>
          <w:rFonts w:ascii="Verdana" w:hAnsi="Verdana"/>
          <w:color w:val="000000"/>
          <w:sz w:val="18"/>
          <w:szCs w:val="18"/>
        </w:rPr>
      </w:pPr>
      <w:r>
        <w:rPr>
          <w:rFonts w:ascii="Verdana" w:hAnsi="Verdana"/>
          <w:color w:val="000000"/>
          <w:sz w:val="18"/>
          <w:szCs w:val="18"/>
        </w:rPr>
        <w:t>“The main problem with the Common Elements Guidance is that it fails to provide a clear pathway for persons seeking to purchase a commercial property to qualify for the CERCLA liability protections that Congress enacted in 2002,” Weissman said.</w:t>
      </w:r>
    </w:p>
    <w:p w:rsidR="00F82BAE" w:rsidRDefault="00F82BAE" w:rsidP="00F82BAE">
      <w:pPr>
        <w:rPr>
          <w:rFonts w:ascii="Verdana" w:hAnsi="Verdana"/>
          <w:color w:val="000000"/>
          <w:sz w:val="18"/>
          <w:szCs w:val="18"/>
        </w:rPr>
      </w:pPr>
      <w:bookmarkStart w:id="32" w:name="a0e2j6q2v2"/>
      <w:bookmarkEnd w:id="32"/>
    </w:p>
    <w:p w:rsidR="00F82BAE" w:rsidRDefault="00F82BAE" w:rsidP="00F82BAE">
      <w:pPr>
        <w:rPr>
          <w:rFonts w:ascii="Verdana" w:hAnsi="Verdana"/>
          <w:color w:val="000000"/>
          <w:sz w:val="18"/>
          <w:szCs w:val="18"/>
        </w:rPr>
      </w:pPr>
      <w:r>
        <w:rPr>
          <w:rFonts w:ascii="Verdana" w:hAnsi="Verdana"/>
          <w:color w:val="000000"/>
          <w:sz w:val="18"/>
          <w:szCs w:val="18"/>
        </w:rPr>
        <w:t>The guidance reads as though it was written primarily by EPA's superfund enforcers whose mission was to limit the scope of the CERCLA defenses “to the maximum degree possible rather than by the advocates of brownfields development whose mission would be to give the redevelopment incentives that Congress enacted a general construction,” he said.</w:t>
      </w:r>
    </w:p>
    <w:p w:rsidR="00F82BAE" w:rsidRDefault="00F82BAE" w:rsidP="00F82BAE">
      <w:pPr>
        <w:rPr>
          <w:rFonts w:ascii="Verdana" w:hAnsi="Verdana"/>
          <w:color w:val="000000"/>
          <w:sz w:val="18"/>
          <w:szCs w:val="18"/>
        </w:rPr>
      </w:pPr>
      <w:bookmarkStart w:id="33" w:name="a0e2j6q2v3"/>
      <w:bookmarkEnd w:id="33"/>
    </w:p>
    <w:p w:rsidR="00F82BAE" w:rsidRDefault="00F82BAE" w:rsidP="00F82BAE">
      <w:pPr>
        <w:rPr>
          <w:rFonts w:ascii="Verdana" w:hAnsi="Verdana"/>
          <w:color w:val="000000"/>
          <w:sz w:val="18"/>
          <w:szCs w:val="18"/>
        </w:rPr>
      </w:pPr>
      <w:r>
        <w:rPr>
          <w:rFonts w:ascii="Verdana" w:hAnsi="Verdana"/>
          <w:color w:val="000000"/>
          <w:sz w:val="18"/>
          <w:szCs w:val="18"/>
        </w:rPr>
        <w:t>Larry Schnapf, of Schnapf LLC, told Bloomberg BNA in an e-mail, “The problem with the BFPP liability protection is that it is largely self-implementing. The current Common Elements guidance provides property owners with very little insight on how to enhance the possibility that they have qualified for the BFPP,” he said.</w:t>
      </w:r>
    </w:p>
    <w:p w:rsidR="00F82BAE" w:rsidRDefault="00F82BAE" w:rsidP="00F82BAE">
      <w:pPr>
        <w:rPr>
          <w:rFonts w:ascii="Verdana" w:hAnsi="Verdana"/>
          <w:color w:val="000000"/>
          <w:sz w:val="18"/>
          <w:szCs w:val="18"/>
        </w:rPr>
      </w:pPr>
      <w:bookmarkStart w:id="34" w:name="a0e2j6q2v4"/>
      <w:bookmarkEnd w:id="34"/>
    </w:p>
    <w:p w:rsidR="00F82BAE" w:rsidRDefault="00F82BAE" w:rsidP="00F82BAE">
      <w:pPr>
        <w:rPr>
          <w:rFonts w:ascii="Verdana" w:hAnsi="Verdana"/>
          <w:color w:val="000000"/>
          <w:sz w:val="18"/>
          <w:szCs w:val="18"/>
        </w:rPr>
      </w:pPr>
      <w:r>
        <w:rPr>
          <w:rFonts w:ascii="Verdana" w:hAnsi="Verdana"/>
          <w:color w:val="000000"/>
          <w:sz w:val="18"/>
          <w:szCs w:val="18"/>
        </w:rPr>
        <w:t>“Thus, property owners are never sure that they have successfully qualified for this LLP until they have been sued and expended funds successfully defending those lawsuits,” he said.</w:t>
      </w:r>
    </w:p>
    <w:p w:rsidR="00F82BAE" w:rsidRDefault="00F82BAE" w:rsidP="00F82BAE">
      <w:pPr>
        <w:rPr>
          <w:rFonts w:ascii="Verdana" w:hAnsi="Verdana"/>
          <w:color w:val="000000"/>
          <w:sz w:val="18"/>
          <w:szCs w:val="18"/>
        </w:rPr>
      </w:pPr>
      <w:bookmarkStart w:id="35" w:name="a0e2j6q2v5"/>
      <w:bookmarkEnd w:id="35"/>
      <w:proofErr w:type="gramStart"/>
      <w:r>
        <w:rPr>
          <w:rFonts w:ascii="Verdana" w:hAnsi="Verdana"/>
          <w:color w:val="000000"/>
          <w:sz w:val="18"/>
          <w:szCs w:val="18"/>
        </w:rPr>
        <w:t>Showing that a party exercised appropriate care is another element of a successful BFPP defense.</w:t>
      </w:r>
      <w:proofErr w:type="gramEnd"/>
    </w:p>
    <w:p w:rsidR="00F82BAE" w:rsidRDefault="00F82BAE" w:rsidP="00F82BAE">
      <w:pPr>
        <w:rPr>
          <w:rFonts w:ascii="Verdana" w:hAnsi="Verdana"/>
          <w:color w:val="000000"/>
          <w:sz w:val="18"/>
          <w:szCs w:val="18"/>
        </w:rPr>
      </w:pPr>
      <w:bookmarkStart w:id="36" w:name="a0e2j6q2v6"/>
      <w:bookmarkEnd w:id="36"/>
    </w:p>
    <w:p w:rsidR="00F82BAE" w:rsidRDefault="00F82BAE" w:rsidP="00F82BAE">
      <w:pPr>
        <w:rPr>
          <w:rFonts w:ascii="Verdana" w:hAnsi="Verdana"/>
          <w:color w:val="000000"/>
          <w:sz w:val="18"/>
          <w:szCs w:val="18"/>
        </w:rPr>
      </w:pPr>
      <w:r>
        <w:rPr>
          <w:rFonts w:ascii="Verdana" w:hAnsi="Verdana"/>
          <w:color w:val="000000"/>
          <w:sz w:val="18"/>
          <w:szCs w:val="18"/>
        </w:rPr>
        <w:t xml:space="preserve">“We've now had a decade of experience with the BFPP and a line of cases interpreting what constitutes ‘appropriate care.' The case law has highlighted a number of common issues or </w:t>
      </w:r>
      <w:proofErr w:type="gramStart"/>
      <w:r>
        <w:rPr>
          <w:rFonts w:ascii="Verdana" w:hAnsi="Verdana"/>
          <w:color w:val="000000"/>
          <w:sz w:val="18"/>
          <w:szCs w:val="18"/>
        </w:rPr>
        <w:t>themes</w:t>
      </w:r>
      <w:proofErr w:type="gramEnd"/>
      <w:r>
        <w:rPr>
          <w:rFonts w:ascii="Verdana" w:hAnsi="Verdana"/>
          <w:color w:val="000000"/>
          <w:sz w:val="18"/>
          <w:szCs w:val="18"/>
        </w:rPr>
        <w:t xml:space="preserve"> that have caused property owners to either lose or jeopardize their BFPP status,” Schnapf said. “It would be helpful if EPA could revise its guidance to discuss those common issues that have come into focus.”</w:t>
      </w:r>
    </w:p>
    <w:p w:rsidR="00F82BAE" w:rsidRDefault="00F82BAE" w:rsidP="00F82BAE">
      <w:pPr>
        <w:rPr>
          <w:rFonts w:ascii="Verdana" w:hAnsi="Verdana"/>
          <w:color w:val="000000"/>
          <w:sz w:val="18"/>
          <w:szCs w:val="18"/>
        </w:rPr>
      </w:pPr>
    </w:p>
    <w:p w:rsidR="00F82BAE" w:rsidRDefault="00F82BAE" w:rsidP="00F82BAE">
      <w:pPr>
        <w:rPr>
          <w:rFonts w:ascii="Verdana" w:hAnsi="Verdana"/>
          <w:color w:val="000000"/>
          <w:sz w:val="18"/>
          <w:szCs w:val="18"/>
        </w:rPr>
      </w:pPr>
      <w:bookmarkStart w:id="37" w:name="a0e2j6q2v7"/>
      <w:bookmarkEnd w:id="37"/>
      <w:r>
        <w:rPr>
          <w:rFonts w:ascii="Verdana" w:hAnsi="Verdana"/>
          <w:color w:val="000000"/>
          <w:sz w:val="18"/>
          <w:szCs w:val="18"/>
        </w:rPr>
        <w:t>“Perhaps the most important issue EPA should consider is management of on-site soils, such as moving contaminated dirt or exposing contaminated soil,” Schnapf said.</w:t>
      </w:r>
    </w:p>
    <w:p w:rsidR="00F82BAE" w:rsidRDefault="00F82BAE" w:rsidP="00F82BAE">
      <w:pPr>
        <w:rPr>
          <w:rFonts w:ascii="Verdana" w:hAnsi="Verdana"/>
          <w:color w:val="000000"/>
          <w:sz w:val="18"/>
          <w:szCs w:val="18"/>
        </w:rPr>
      </w:pPr>
      <w:bookmarkStart w:id="38" w:name="a0e2j6q2v8"/>
      <w:bookmarkEnd w:id="38"/>
    </w:p>
    <w:p w:rsidR="00F82BAE" w:rsidRDefault="00F82BAE" w:rsidP="00F82BAE">
      <w:pPr>
        <w:rPr>
          <w:rFonts w:ascii="Verdana" w:hAnsi="Verdana"/>
          <w:color w:val="000000"/>
          <w:sz w:val="18"/>
          <w:szCs w:val="18"/>
        </w:rPr>
      </w:pPr>
      <w:r>
        <w:rPr>
          <w:rFonts w:ascii="Verdana" w:hAnsi="Verdana"/>
          <w:color w:val="000000"/>
          <w:sz w:val="18"/>
          <w:szCs w:val="18"/>
        </w:rPr>
        <w:t>Other issues the agency might want to cover might include demolishing buildings, assembling vacant properties while waiting for financing, phasing in development, and closing tanks,” he said.</w:t>
      </w:r>
    </w:p>
    <w:p w:rsidR="00F82BAE" w:rsidRDefault="00F82BAE" w:rsidP="00F82BAE">
      <w:pPr>
        <w:rPr>
          <w:rFonts w:ascii="Verdana" w:hAnsi="Verdana"/>
          <w:b/>
          <w:bCs/>
          <w:color w:val="000000"/>
          <w:sz w:val="18"/>
          <w:szCs w:val="18"/>
        </w:rPr>
      </w:pPr>
      <w:bookmarkStart w:id="39" w:name="a0e2j6q2v9"/>
      <w:bookmarkEnd w:id="39"/>
    </w:p>
    <w:p w:rsidR="00F82BAE" w:rsidRDefault="00F82BAE" w:rsidP="00F82BAE">
      <w:pPr>
        <w:rPr>
          <w:rFonts w:ascii="Verdana" w:hAnsi="Verdana"/>
          <w:b/>
          <w:bCs/>
          <w:color w:val="000000"/>
          <w:sz w:val="18"/>
          <w:szCs w:val="18"/>
        </w:rPr>
      </w:pPr>
      <w:r>
        <w:rPr>
          <w:rFonts w:ascii="Verdana" w:hAnsi="Verdana"/>
          <w:b/>
          <w:bCs/>
          <w:color w:val="000000"/>
          <w:sz w:val="18"/>
          <w:szCs w:val="18"/>
        </w:rPr>
        <w:t>After-the-Fact Determinations</w:t>
      </w:r>
    </w:p>
    <w:p w:rsidR="00F82BAE" w:rsidRDefault="00F82BAE" w:rsidP="00F82BAE">
      <w:pPr>
        <w:rPr>
          <w:rFonts w:ascii="Verdana" w:hAnsi="Verdana"/>
          <w:color w:val="000000"/>
          <w:sz w:val="18"/>
          <w:szCs w:val="18"/>
        </w:rPr>
      </w:pPr>
      <w:bookmarkStart w:id="40" w:name="a0e2j6q2w0"/>
      <w:bookmarkEnd w:id="40"/>
    </w:p>
    <w:p w:rsidR="00F82BAE" w:rsidRDefault="00F82BAE" w:rsidP="00F82BAE">
      <w:pPr>
        <w:rPr>
          <w:rFonts w:ascii="Verdana" w:hAnsi="Verdana"/>
          <w:color w:val="000000"/>
          <w:sz w:val="18"/>
          <w:szCs w:val="18"/>
        </w:rPr>
      </w:pPr>
      <w:r>
        <w:rPr>
          <w:rFonts w:ascii="Verdana" w:hAnsi="Verdana"/>
          <w:color w:val="000000"/>
          <w:sz w:val="18"/>
          <w:szCs w:val="18"/>
        </w:rPr>
        <w:t>Christopher Roe, an attorney with Fox Rothschild LLP, told Bloomberg BNA, “A fundamental problem with the landowner liability protections is that there will be an after-the-fact determination of whether someone met the general criteria set out by the EPA and the superfund law.”</w:t>
      </w:r>
    </w:p>
    <w:p w:rsidR="00F82BAE" w:rsidRDefault="00F82BAE" w:rsidP="00F82BAE">
      <w:pPr>
        <w:rPr>
          <w:rFonts w:ascii="Verdana" w:hAnsi="Verdana"/>
          <w:color w:val="000000"/>
          <w:sz w:val="18"/>
          <w:szCs w:val="18"/>
        </w:rPr>
      </w:pPr>
      <w:bookmarkStart w:id="41" w:name="a0e2j6q2w1"/>
      <w:bookmarkEnd w:id="41"/>
    </w:p>
    <w:p w:rsidR="00F82BAE" w:rsidRDefault="00F82BAE" w:rsidP="00F82BAE">
      <w:pPr>
        <w:rPr>
          <w:rFonts w:ascii="Verdana" w:hAnsi="Verdana"/>
          <w:color w:val="000000"/>
          <w:sz w:val="18"/>
          <w:szCs w:val="18"/>
        </w:rPr>
      </w:pPr>
      <w:r>
        <w:rPr>
          <w:rFonts w:ascii="Verdana" w:hAnsi="Verdana"/>
          <w:color w:val="000000"/>
          <w:sz w:val="18"/>
          <w:szCs w:val="18"/>
        </w:rPr>
        <w:t>In the past, the EPA and prospective purchasers may have entered into an agreement where the agency laid out very clearly what a party must do to meet liability criteria for a given site, he said.</w:t>
      </w:r>
    </w:p>
    <w:p w:rsidR="00F82BAE" w:rsidRDefault="00F82BAE" w:rsidP="00F82BAE">
      <w:pPr>
        <w:rPr>
          <w:rFonts w:ascii="Verdana" w:hAnsi="Verdana"/>
          <w:color w:val="000000"/>
          <w:sz w:val="18"/>
          <w:szCs w:val="18"/>
        </w:rPr>
      </w:pPr>
      <w:bookmarkStart w:id="42" w:name="a0e2j6q2w2"/>
      <w:bookmarkEnd w:id="42"/>
    </w:p>
    <w:p w:rsidR="00F82BAE" w:rsidRDefault="00F82BAE" w:rsidP="00F82BAE">
      <w:pPr>
        <w:rPr>
          <w:rFonts w:ascii="Verdana" w:hAnsi="Verdana"/>
          <w:color w:val="000000"/>
          <w:sz w:val="18"/>
          <w:szCs w:val="18"/>
        </w:rPr>
      </w:pPr>
      <w:r>
        <w:rPr>
          <w:rFonts w:ascii="Verdana" w:hAnsi="Verdana"/>
          <w:color w:val="000000"/>
          <w:sz w:val="18"/>
          <w:szCs w:val="18"/>
        </w:rPr>
        <w:t>The EPA, however, has moved away from such agreements, taking the position they are unnecessary because of the landowner liability protections, Roe said.</w:t>
      </w:r>
    </w:p>
    <w:p w:rsidR="00F82BAE" w:rsidRDefault="00F82BAE" w:rsidP="00F82BAE">
      <w:pPr>
        <w:rPr>
          <w:rFonts w:ascii="Verdana" w:hAnsi="Verdana"/>
          <w:color w:val="000000"/>
          <w:sz w:val="18"/>
          <w:szCs w:val="18"/>
        </w:rPr>
      </w:pPr>
      <w:bookmarkStart w:id="43" w:name="a0e2j6q2w3"/>
      <w:bookmarkEnd w:id="43"/>
    </w:p>
    <w:p w:rsidR="00F82BAE" w:rsidRDefault="00F82BAE" w:rsidP="00F82BAE">
      <w:pPr>
        <w:rPr>
          <w:rFonts w:ascii="Verdana" w:hAnsi="Verdana"/>
          <w:color w:val="000000"/>
          <w:sz w:val="18"/>
          <w:szCs w:val="18"/>
        </w:rPr>
      </w:pPr>
      <w:r>
        <w:rPr>
          <w:rFonts w:ascii="Verdana" w:hAnsi="Verdana"/>
          <w:color w:val="000000"/>
          <w:sz w:val="18"/>
          <w:szCs w:val="18"/>
        </w:rPr>
        <w:t>“But the problem with that, as is clear in the recent case law, is that the criteria are general and subject to differing interpretations when they get applied after the fact to specific actions a landowner takes or fails to take at a particular property,” he said.</w:t>
      </w:r>
    </w:p>
    <w:p w:rsidR="00F82BAE" w:rsidRDefault="00F82BAE" w:rsidP="00F82BAE">
      <w:pPr>
        <w:rPr>
          <w:rFonts w:ascii="Verdana" w:hAnsi="Verdana"/>
          <w:b/>
          <w:bCs/>
          <w:color w:val="000000"/>
          <w:sz w:val="18"/>
          <w:szCs w:val="18"/>
        </w:rPr>
      </w:pPr>
      <w:bookmarkStart w:id="44" w:name="a0e2j6q2w4"/>
      <w:bookmarkEnd w:id="44"/>
    </w:p>
    <w:p w:rsidR="00F82BAE" w:rsidRDefault="00F82BAE" w:rsidP="00F82BAE">
      <w:pPr>
        <w:rPr>
          <w:rFonts w:ascii="Verdana" w:hAnsi="Verdana"/>
          <w:b/>
          <w:bCs/>
          <w:color w:val="000000"/>
          <w:sz w:val="18"/>
          <w:szCs w:val="18"/>
        </w:rPr>
      </w:pPr>
      <w:r>
        <w:rPr>
          <w:rFonts w:ascii="Verdana" w:hAnsi="Verdana"/>
          <w:b/>
          <w:bCs/>
          <w:color w:val="000000"/>
          <w:sz w:val="18"/>
          <w:szCs w:val="18"/>
        </w:rPr>
        <w:t xml:space="preserve">Disappointment </w:t>
      </w:r>
      <w:proofErr w:type="gramStart"/>
      <w:r>
        <w:rPr>
          <w:rFonts w:ascii="Verdana" w:hAnsi="Verdana"/>
          <w:b/>
          <w:bCs/>
          <w:color w:val="000000"/>
          <w:sz w:val="18"/>
          <w:szCs w:val="18"/>
        </w:rPr>
        <w:t>With</w:t>
      </w:r>
      <w:proofErr w:type="gramEnd"/>
      <w:r>
        <w:rPr>
          <w:rFonts w:ascii="Verdana" w:hAnsi="Verdana"/>
          <w:b/>
          <w:bCs/>
          <w:color w:val="000000"/>
          <w:sz w:val="18"/>
          <w:szCs w:val="18"/>
        </w:rPr>
        <w:t xml:space="preserve"> ‘Ashley' Decision</w:t>
      </w:r>
    </w:p>
    <w:p w:rsidR="00F82BAE" w:rsidRDefault="00F82BAE" w:rsidP="00F82BAE">
      <w:pPr>
        <w:rPr>
          <w:rFonts w:ascii="Verdana" w:hAnsi="Verdana"/>
          <w:color w:val="000000"/>
          <w:sz w:val="18"/>
          <w:szCs w:val="18"/>
        </w:rPr>
      </w:pPr>
      <w:bookmarkStart w:id="45" w:name="a0e2j6q2w5"/>
      <w:bookmarkEnd w:id="45"/>
    </w:p>
    <w:p w:rsidR="00F82BAE" w:rsidRDefault="00F82BAE" w:rsidP="00F82BAE">
      <w:pPr>
        <w:rPr>
          <w:rFonts w:ascii="Verdana" w:hAnsi="Verdana"/>
          <w:color w:val="000000"/>
          <w:sz w:val="18"/>
          <w:szCs w:val="18"/>
        </w:rPr>
      </w:pPr>
      <w:r>
        <w:rPr>
          <w:rFonts w:ascii="Verdana" w:hAnsi="Verdana"/>
          <w:color w:val="000000"/>
          <w:sz w:val="18"/>
          <w:szCs w:val="18"/>
        </w:rPr>
        <w:t>Some lawyers expressed disappointment that the bona fide prospective purchaser defense was not addressed by a federal appeals court in a major ruling in a South Carolina case in April.</w:t>
      </w:r>
    </w:p>
    <w:p w:rsidR="00F82BAE" w:rsidRDefault="00F82BAE" w:rsidP="00F82BAE">
      <w:pPr>
        <w:rPr>
          <w:rFonts w:ascii="Verdana" w:hAnsi="Verdana"/>
          <w:color w:val="000000"/>
          <w:sz w:val="18"/>
          <w:szCs w:val="18"/>
        </w:rPr>
      </w:pPr>
      <w:bookmarkStart w:id="46" w:name="a0e2j6q2w6"/>
      <w:bookmarkEnd w:id="46"/>
      <w:r>
        <w:rPr>
          <w:rFonts w:ascii="Verdana" w:hAnsi="Verdana"/>
          <w:color w:val="000000"/>
          <w:sz w:val="18"/>
          <w:szCs w:val="18"/>
        </w:rPr>
        <w:lastRenderedPageBreak/>
        <w:t>Many were hoping the decision by the U.S. Court of Appeals for the Fourth Circuit in</w:t>
      </w:r>
      <w:r>
        <w:rPr>
          <w:rStyle w:val="apple-converted-space"/>
          <w:rFonts w:ascii="Verdana" w:hAnsi="Verdana"/>
          <w:color w:val="000000"/>
          <w:sz w:val="18"/>
          <w:szCs w:val="18"/>
        </w:rPr>
        <w:t> </w:t>
      </w:r>
      <w:r>
        <w:rPr>
          <w:rStyle w:val="emphi"/>
          <w:rFonts w:ascii="Verdana" w:hAnsi="Verdana"/>
          <w:i/>
          <w:iCs/>
          <w:color w:val="000000"/>
          <w:sz w:val="18"/>
          <w:szCs w:val="18"/>
        </w:rPr>
        <w:t>Ashley II</w:t>
      </w:r>
      <w:r>
        <w:rPr>
          <w:rStyle w:val="apple-converted-space"/>
          <w:rFonts w:ascii="Verdana" w:hAnsi="Verdana"/>
          <w:color w:val="000000"/>
          <w:sz w:val="18"/>
          <w:szCs w:val="18"/>
        </w:rPr>
        <w:t> </w:t>
      </w:r>
      <w:r>
        <w:rPr>
          <w:rFonts w:ascii="Verdana" w:hAnsi="Verdana"/>
          <w:color w:val="000000"/>
          <w:sz w:val="18"/>
          <w:szCs w:val="18"/>
        </w:rPr>
        <w:t>would help clarify the BFPP defense, but lawyers said the decision shed no light on it (</w:t>
      </w:r>
      <w:r>
        <w:rPr>
          <w:rStyle w:val="case-name"/>
          <w:rFonts w:ascii="Verdana" w:hAnsi="Verdana"/>
          <w:i/>
          <w:iCs/>
          <w:color w:val="000000"/>
          <w:sz w:val="18"/>
          <w:szCs w:val="18"/>
        </w:rPr>
        <w:t>PCS Nitrogen Inc. v. Ashley II of Charleston LLC</w:t>
      </w:r>
      <w:r>
        <w:rPr>
          <w:rFonts w:ascii="Verdana" w:hAnsi="Verdana"/>
          <w:color w:val="000000"/>
          <w:sz w:val="18"/>
          <w:szCs w:val="18"/>
        </w:rPr>
        <w:t>, 714 F.3d 161, 76 ERC 1683, 2013 BL 90779 (4th Cir. 2013; (</w:t>
      </w:r>
      <w:hyperlink r:id="rId7" w:tgtFrame="_top" w:history="1">
        <w:r>
          <w:rPr>
            <w:rStyle w:val="Hyperlink"/>
            <w:rFonts w:ascii="Verdana" w:hAnsi="Verdana"/>
            <w:color w:val="660066"/>
            <w:sz w:val="18"/>
            <w:szCs w:val="18"/>
            <w:u w:val="none"/>
          </w:rPr>
          <w:t>22 EDDG 25, 4/18/13</w:t>
        </w:r>
      </w:hyperlink>
      <w:r>
        <w:rPr>
          <w:rFonts w:ascii="Verdana" w:hAnsi="Verdana"/>
          <w:color w:val="000000"/>
          <w:sz w:val="18"/>
          <w:szCs w:val="18"/>
        </w:rPr>
        <w:t>).</w:t>
      </w:r>
    </w:p>
    <w:p w:rsidR="00F82BAE" w:rsidRDefault="00F82BAE" w:rsidP="00F82BAE">
      <w:pPr>
        <w:rPr>
          <w:rFonts w:ascii="Verdana" w:hAnsi="Verdana"/>
          <w:color w:val="000000"/>
          <w:sz w:val="18"/>
          <w:szCs w:val="18"/>
        </w:rPr>
      </w:pPr>
      <w:bookmarkStart w:id="47" w:name="a0e2j6q2w7"/>
      <w:bookmarkEnd w:id="47"/>
    </w:p>
    <w:p w:rsidR="00F82BAE" w:rsidRDefault="00F82BAE" w:rsidP="00F82BAE">
      <w:pPr>
        <w:rPr>
          <w:rFonts w:ascii="Verdana" w:hAnsi="Verdana"/>
          <w:color w:val="000000"/>
          <w:sz w:val="18"/>
          <w:szCs w:val="18"/>
        </w:rPr>
      </w:pPr>
      <w:r>
        <w:rPr>
          <w:rFonts w:ascii="Verdana" w:hAnsi="Verdana"/>
          <w:color w:val="000000"/>
          <w:sz w:val="18"/>
          <w:szCs w:val="18"/>
        </w:rPr>
        <w:t>In 2010, the U.S. District Court for the District of South Carolina held that Ashley II, the owner of a former fertilizer site, could not claim the BFPP defense because it did not exercise appropriate care at the site and had engaged in prohibited affiliation with prior liable owners through indemnification agreements (</w:t>
      </w:r>
      <w:r>
        <w:rPr>
          <w:rStyle w:val="case-name"/>
          <w:rFonts w:ascii="Verdana" w:hAnsi="Verdana"/>
          <w:i/>
          <w:iCs/>
          <w:color w:val="000000"/>
          <w:sz w:val="18"/>
          <w:szCs w:val="18"/>
        </w:rPr>
        <w:t>Ashley II of Charleston LLC v. PCS Nitrogen Inc.</w:t>
      </w:r>
      <w:r>
        <w:rPr>
          <w:rFonts w:ascii="Verdana" w:hAnsi="Verdana"/>
          <w:color w:val="000000"/>
          <w:sz w:val="18"/>
          <w:szCs w:val="18"/>
        </w:rPr>
        <w:t>, 746 F. Supp. 2d 692, 72 ERC 2227, 2010 BL 242893 (D.S.C. 2010).</w:t>
      </w:r>
    </w:p>
    <w:p w:rsidR="00F82BAE" w:rsidRDefault="00F82BAE" w:rsidP="00F82BAE">
      <w:pPr>
        <w:rPr>
          <w:rFonts w:ascii="Verdana" w:hAnsi="Verdana"/>
          <w:color w:val="000000"/>
          <w:sz w:val="18"/>
          <w:szCs w:val="18"/>
        </w:rPr>
      </w:pPr>
      <w:bookmarkStart w:id="48" w:name="a0e2j6q2w8"/>
      <w:bookmarkEnd w:id="48"/>
    </w:p>
    <w:p w:rsidR="00F82BAE" w:rsidRDefault="00F82BAE" w:rsidP="00F82BAE">
      <w:pPr>
        <w:rPr>
          <w:rFonts w:ascii="Verdana" w:hAnsi="Verdana"/>
          <w:color w:val="000000"/>
          <w:sz w:val="18"/>
          <w:szCs w:val="18"/>
        </w:rPr>
      </w:pPr>
      <w:r>
        <w:rPr>
          <w:rFonts w:ascii="Verdana" w:hAnsi="Verdana"/>
          <w:color w:val="000000"/>
          <w:sz w:val="18"/>
          <w:szCs w:val="18"/>
        </w:rPr>
        <w:t>In July, the former owner of the site, PCS Nitrogen Inc., petitioned the U.S. Supreme Court to review the appeals court decision on a separate liability issue of divisibility of harm under CERCLA (</w:t>
      </w:r>
      <w:r>
        <w:rPr>
          <w:rStyle w:val="case-name"/>
          <w:rFonts w:ascii="Verdana" w:hAnsi="Verdana"/>
          <w:i/>
          <w:iCs/>
          <w:color w:val="000000"/>
          <w:sz w:val="18"/>
          <w:szCs w:val="18"/>
        </w:rPr>
        <w:t>PCS Nitrogen Inc. v. Ashley II of Charleston LLC</w:t>
      </w:r>
      <w:r>
        <w:rPr>
          <w:rFonts w:ascii="Verdana" w:hAnsi="Verdana"/>
          <w:color w:val="000000"/>
          <w:sz w:val="18"/>
          <w:szCs w:val="18"/>
        </w:rPr>
        <w:t>, U.S., No. 13-139, 7/29/13; (</w:t>
      </w:r>
      <w:hyperlink r:id="rId8" w:tgtFrame="_top" w:history="1">
        <w:r>
          <w:rPr>
            <w:rStyle w:val="Hyperlink"/>
            <w:rFonts w:ascii="Verdana" w:hAnsi="Verdana"/>
            <w:color w:val="660066"/>
            <w:sz w:val="18"/>
            <w:szCs w:val="18"/>
            <w:u w:val="none"/>
          </w:rPr>
          <w:t>22 EDDG 72, 9/19/13</w:t>
        </w:r>
      </w:hyperlink>
      <w:r>
        <w:rPr>
          <w:rFonts w:ascii="Verdana" w:hAnsi="Verdana"/>
          <w:color w:val="000000"/>
          <w:sz w:val="18"/>
          <w:szCs w:val="18"/>
        </w:rPr>
        <w:t>).</w:t>
      </w:r>
    </w:p>
    <w:p w:rsidR="00F82BAE" w:rsidRDefault="00F82BAE" w:rsidP="00F82BAE">
      <w:pPr>
        <w:rPr>
          <w:rFonts w:ascii="Verdana" w:hAnsi="Verdana"/>
          <w:color w:val="000000"/>
          <w:sz w:val="18"/>
          <w:szCs w:val="18"/>
        </w:rPr>
      </w:pPr>
      <w:bookmarkStart w:id="49" w:name="a0e2j6q2w9"/>
      <w:bookmarkEnd w:id="49"/>
    </w:p>
    <w:p w:rsidR="00F82BAE" w:rsidRDefault="00F82BAE" w:rsidP="00F82BAE">
      <w:pPr>
        <w:rPr>
          <w:rFonts w:ascii="Verdana" w:hAnsi="Verdana"/>
          <w:color w:val="000000"/>
          <w:sz w:val="18"/>
          <w:szCs w:val="18"/>
        </w:rPr>
      </w:pPr>
      <w:r>
        <w:rPr>
          <w:rFonts w:ascii="Verdana" w:hAnsi="Verdana"/>
          <w:color w:val="000000"/>
          <w:sz w:val="18"/>
          <w:szCs w:val="18"/>
        </w:rPr>
        <w:t>The failure of the appeals court to clarify the BFFP issue in the</w:t>
      </w:r>
      <w:r>
        <w:rPr>
          <w:rStyle w:val="apple-converted-space"/>
          <w:rFonts w:ascii="Verdana" w:hAnsi="Verdana"/>
          <w:color w:val="000000"/>
          <w:sz w:val="18"/>
          <w:szCs w:val="18"/>
        </w:rPr>
        <w:t> </w:t>
      </w:r>
      <w:r>
        <w:rPr>
          <w:rStyle w:val="emphi"/>
          <w:rFonts w:ascii="Verdana" w:hAnsi="Verdana"/>
          <w:i/>
          <w:iCs/>
          <w:color w:val="000000"/>
          <w:sz w:val="18"/>
          <w:szCs w:val="18"/>
        </w:rPr>
        <w:t>Ashley II</w:t>
      </w:r>
      <w:r>
        <w:rPr>
          <w:rStyle w:val="apple-converted-space"/>
          <w:rFonts w:ascii="Verdana" w:hAnsi="Verdana"/>
          <w:i/>
          <w:iCs/>
          <w:color w:val="000000"/>
          <w:sz w:val="18"/>
          <w:szCs w:val="18"/>
        </w:rPr>
        <w:t> </w:t>
      </w:r>
      <w:r>
        <w:rPr>
          <w:rFonts w:ascii="Verdana" w:hAnsi="Verdana"/>
          <w:color w:val="000000"/>
          <w:sz w:val="18"/>
          <w:szCs w:val="18"/>
        </w:rPr>
        <w:t>decision again raised the question of whether the Common Elements Guidance should be revised.</w:t>
      </w:r>
    </w:p>
    <w:p w:rsidR="00F82BAE" w:rsidRDefault="00F82BAE" w:rsidP="00F82BAE">
      <w:pPr>
        <w:rPr>
          <w:rFonts w:ascii="Verdana" w:hAnsi="Verdana"/>
          <w:color w:val="000000"/>
          <w:sz w:val="18"/>
          <w:szCs w:val="18"/>
        </w:rPr>
      </w:pPr>
      <w:bookmarkStart w:id="50" w:name="a0e2j6q2x0"/>
      <w:bookmarkEnd w:id="50"/>
    </w:p>
    <w:p w:rsidR="00F82BAE" w:rsidRDefault="00F82BAE" w:rsidP="00F82BAE">
      <w:pPr>
        <w:rPr>
          <w:rFonts w:ascii="Verdana" w:hAnsi="Verdana"/>
          <w:color w:val="000000"/>
          <w:sz w:val="18"/>
          <w:szCs w:val="18"/>
        </w:rPr>
      </w:pPr>
      <w:r>
        <w:rPr>
          <w:rFonts w:ascii="Verdana" w:hAnsi="Verdana"/>
          <w:color w:val="000000"/>
          <w:sz w:val="18"/>
          <w:szCs w:val="18"/>
        </w:rPr>
        <w:t>David Freeman, an attorney at Gibbons P.C., told Bloomberg BNA in an e-mail that the appeals court upheld the district court on its finding that</w:t>
      </w:r>
      <w:r>
        <w:rPr>
          <w:rStyle w:val="apple-converted-space"/>
          <w:rFonts w:ascii="Verdana" w:hAnsi="Verdana"/>
          <w:color w:val="000000"/>
          <w:sz w:val="18"/>
          <w:szCs w:val="18"/>
        </w:rPr>
        <w:t> </w:t>
      </w:r>
      <w:r>
        <w:rPr>
          <w:rStyle w:val="emphi"/>
          <w:rFonts w:ascii="Verdana" w:hAnsi="Verdana"/>
          <w:i/>
          <w:iCs/>
          <w:color w:val="000000"/>
          <w:sz w:val="18"/>
          <w:szCs w:val="18"/>
        </w:rPr>
        <w:t>Ashley II</w:t>
      </w:r>
      <w:r>
        <w:rPr>
          <w:rStyle w:val="apple-converted-space"/>
          <w:rFonts w:ascii="Verdana" w:hAnsi="Verdana"/>
          <w:i/>
          <w:iCs/>
          <w:color w:val="000000"/>
          <w:sz w:val="18"/>
          <w:szCs w:val="18"/>
        </w:rPr>
        <w:t> </w:t>
      </w:r>
      <w:r>
        <w:rPr>
          <w:rFonts w:ascii="Verdana" w:hAnsi="Verdana"/>
          <w:color w:val="000000"/>
          <w:sz w:val="18"/>
          <w:szCs w:val="18"/>
        </w:rPr>
        <w:t>did not exercise appropriate care, but did not mention the prohibited affiliation alternative basis of the district court's ruling.</w:t>
      </w:r>
    </w:p>
    <w:p w:rsidR="00F82BAE" w:rsidRDefault="00F82BAE" w:rsidP="00F82BAE">
      <w:pPr>
        <w:rPr>
          <w:rFonts w:ascii="Verdana" w:hAnsi="Verdana"/>
          <w:color w:val="000000"/>
          <w:sz w:val="18"/>
          <w:szCs w:val="18"/>
        </w:rPr>
      </w:pPr>
      <w:bookmarkStart w:id="51" w:name="a0e2j6q2x2"/>
      <w:bookmarkEnd w:id="51"/>
    </w:p>
    <w:p w:rsidR="00F82BAE" w:rsidRDefault="00F82BAE" w:rsidP="00F82BAE">
      <w:pPr>
        <w:rPr>
          <w:rFonts w:ascii="Verdana" w:hAnsi="Verdana"/>
          <w:color w:val="000000"/>
          <w:sz w:val="18"/>
          <w:szCs w:val="18"/>
        </w:rPr>
      </w:pPr>
      <w:r>
        <w:rPr>
          <w:rFonts w:ascii="Verdana" w:hAnsi="Verdana"/>
          <w:color w:val="000000"/>
          <w:sz w:val="18"/>
          <w:szCs w:val="18"/>
        </w:rPr>
        <w:t>“It was that part of the district court decision that caused widespread consternation among the regulated community,” he said.</w:t>
      </w:r>
    </w:p>
    <w:p w:rsidR="00F82BAE" w:rsidRDefault="00F82BAE" w:rsidP="00F82BAE">
      <w:pPr>
        <w:rPr>
          <w:rFonts w:ascii="Verdana" w:hAnsi="Verdana"/>
          <w:color w:val="000000"/>
          <w:sz w:val="18"/>
          <w:szCs w:val="18"/>
        </w:rPr>
      </w:pPr>
      <w:bookmarkStart w:id="52" w:name="a0e2j6q2x3"/>
      <w:bookmarkEnd w:id="52"/>
    </w:p>
    <w:p w:rsidR="00F82BAE" w:rsidRDefault="00F82BAE" w:rsidP="00F82BAE">
      <w:pPr>
        <w:rPr>
          <w:rFonts w:ascii="Verdana" w:hAnsi="Verdana"/>
          <w:color w:val="000000"/>
          <w:sz w:val="18"/>
          <w:szCs w:val="18"/>
        </w:rPr>
      </w:pPr>
      <w:r>
        <w:rPr>
          <w:rFonts w:ascii="Verdana" w:hAnsi="Verdana"/>
          <w:color w:val="000000"/>
          <w:sz w:val="18"/>
          <w:szCs w:val="18"/>
        </w:rPr>
        <w:t>“While one generally can't read too much into a court's silence on a particular issue, the fact that the district court's controversial rationale failed to find support at the circuit court level is clearly a matter of some significance,” he said.</w:t>
      </w:r>
    </w:p>
    <w:p w:rsidR="00F82BAE" w:rsidRDefault="00F82BAE" w:rsidP="00F82BAE">
      <w:pPr>
        <w:rPr>
          <w:rFonts w:ascii="Verdana" w:hAnsi="Verdana"/>
          <w:color w:val="000000"/>
          <w:sz w:val="18"/>
          <w:szCs w:val="18"/>
        </w:rPr>
      </w:pPr>
      <w:bookmarkStart w:id="53" w:name="a0e2j6q2x5"/>
      <w:bookmarkEnd w:id="53"/>
    </w:p>
    <w:p w:rsidR="00F82BAE" w:rsidRDefault="00F82BAE" w:rsidP="00F82BAE">
      <w:pPr>
        <w:rPr>
          <w:rFonts w:ascii="Verdana" w:hAnsi="Verdana"/>
          <w:color w:val="000000"/>
          <w:sz w:val="18"/>
          <w:szCs w:val="18"/>
        </w:rPr>
      </w:pPr>
      <w:r>
        <w:rPr>
          <w:rFonts w:ascii="Verdana" w:hAnsi="Verdana"/>
          <w:color w:val="000000"/>
          <w:sz w:val="18"/>
          <w:szCs w:val="18"/>
        </w:rPr>
        <w:t>In addition, Freeman said “EPA has already spoken on the issue” in its September 2011</w:t>
      </w:r>
      <w:r>
        <w:rPr>
          <w:rStyle w:val="apple-converted-space"/>
          <w:rFonts w:ascii="Verdana" w:hAnsi="Verdana"/>
          <w:color w:val="000000"/>
          <w:sz w:val="18"/>
          <w:szCs w:val="18"/>
        </w:rPr>
        <w:t> </w:t>
      </w:r>
      <w:hyperlink r:id="rId9" w:tgtFrame="_blank" w:history="1">
        <w:r>
          <w:rPr>
            <w:rStyle w:val="document-link"/>
            <w:rFonts w:ascii="Verdana" w:hAnsi="Verdana"/>
            <w:color w:val="660066"/>
            <w:sz w:val="18"/>
            <w:szCs w:val="18"/>
          </w:rPr>
          <w:t>document</w:t>
        </w:r>
      </w:hyperlink>
      <w:r>
        <w:rPr>
          <w:rFonts w:ascii="Verdana" w:hAnsi="Verdana"/>
          <w:color w:val="000000"/>
          <w:sz w:val="18"/>
          <w:szCs w:val="18"/>
        </w:rPr>
        <w:t>, “Enforcement Discretion Guidance Regarding the Affiliation Language of CERCLA's Bona Fide Prospective Purchaser and Contiguous Property Owner Liability Protections.”</w:t>
      </w:r>
    </w:p>
    <w:p w:rsidR="00F82BAE" w:rsidRDefault="00F82BAE" w:rsidP="00F82BAE">
      <w:pPr>
        <w:rPr>
          <w:rFonts w:ascii="Verdana" w:hAnsi="Verdana"/>
          <w:color w:val="000000"/>
          <w:sz w:val="18"/>
          <w:szCs w:val="18"/>
        </w:rPr>
      </w:pPr>
      <w:bookmarkStart w:id="54" w:name="a0e2j6q2x6"/>
      <w:bookmarkEnd w:id="54"/>
    </w:p>
    <w:p w:rsidR="00F82BAE" w:rsidRDefault="00F82BAE" w:rsidP="00F82BAE">
      <w:pPr>
        <w:rPr>
          <w:rFonts w:ascii="Verdana" w:hAnsi="Verdana"/>
          <w:color w:val="000000"/>
          <w:sz w:val="18"/>
          <w:szCs w:val="18"/>
        </w:rPr>
      </w:pPr>
      <w:r>
        <w:rPr>
          <w:rFonts w:ascii="Verdana" w:hAnsi="Verdana"/>
          <w:color w:val="000000"/>
          <w:sz w:val="18"/>
          <w:szCs w:val="18"/>
        </w:rPr>
        <w:t>“In that document, EPA pointedly noted that it ‘generally does not intend to treat certain contractual or financial relationships (e.g., certain types of indemnification or insurance agreements) that are typically created as part of the transfer of title … as disqualifying affiliations,’ ” Freeman said.</w:t>
      </w:r>
    </w:p>
    <w:p w:rsidR="00F82BAE" w:rsidRDefault="00F82BAE" w:rsidP="00F82BAE">
      <w:pPr>
        <w:rPr>
          <w:rFonts w:ascii="Verdana" w:hAnsi="Verdana"/>
          <w:color w:val="000000"/>
          <w:sz w:val="18"/>
          <w:szCs w:val="18"/>
        </w:rPr>
      </w:pPr>
      <w:bookmarkStart w:id="55" w:name="a0e2j6q2x7"/>
      <w:bookmarkEnd w:id="55"/>
    </w:p>
    <w:p w:rsidR="00F82BAE" w:rsidRDefault="00F82BAE" w:rsidP="00F82BAE">
      <w:pPr>
        <w:rPr>
          <w:rFonts w:ascii="Verdana" w:hAnsi="Verdana"/>
          <w:color w:val="000000"/>
          <w:sz w:val="18"/>
          <w:szCs w:val="18"/>
        </w:rPr>
      </w:pPr>
      <w:r>
        <w:rPr>
          <w:rFonts w:ascii="Verdana" w:hAnsi="Verdana"/>
          <w:color w:val="000000"/>
          <w:sz w:val="18"/>
          <w:szCs w:val="18"/>
        </w:rPr>
        <w:t>Since both the March 2003 and the September 2011 documents have equal status in that they are nonbinding guidance documents, there is no particular need to amend the earlier document to incorporate the EPA's current—and in his view correct—thinking on this issue, Freeman said.</w:t>
      </w:r>
    </w:p>
    <w:p w:rsidR="00F82BAE" w:rsidRDefault="00F82BAE" w:rsidP="00F82BAE">
      <w:pPr>
        <w:rPr>
          <w:rFonts w:ascii="Verdana" w:hAnsi="Verdana"/>
          <w:b/>
          <w:bCs/>
          <w:color w:val="000000"/>
          <w:sz w:val="18"/>
          <w:szCs w:val="18"/>
        </w:rPr>
      </w:pPr>
      <w:bookmarkStart w:id="56" w:name="a0e2j6q2x8"/>
      <w:bookmarkEnd w:id="56"/>
    </w:p>
    <w:p w:rsidR="00F82BAE" w:rsidRDefault="00F82BAE" w:rsidP="00F82BAE">
      <w:pPr>
        <w:rPr>
          <w:rFonts w:ascii="Verdana" w:hAnsi="Verdana"/>
          <w:b/>
          <w:bCs/>
          <w:color w:val="000000"/>
          <w:sz w:val="18"/>
          <w:szCs w:val="18"/>
        </w:rPr>
      </w:pPr>
      <w:r>
        <w:rPr>
          <w:rFonts w:ascii="Verdana" w:hAnsi="Verdana"/>
          <w:b/>
          <w:bCs/>
          <w:color w:val="000000"/>
          <w:sz w:val="18"/>
          <w:szCs w:val="18"/>
        </w:rPr>
        <w:t>Discussion of Affiliation</w:t>
      </w:r>
    </w:p>
    <w:p w:rsidR="00F82BAE" w:rsidRDefault="00F82BAE" w:rsidP="00F82BAE">
      <w:pPr>
        <w:rPr>
          <w:rFonts w:ascii="Verdana" w:hAnsi="Verdana"/>
          <w:color w:val="000000"/>
          <w:sz w:val="18"/>
          <w:szCs w:val="18"/>
        </w:rPr>
      </w:pPr>
      <w:bookmarkStart w:id="57" w:name="a0e2j6q2x9"/>
      <w:bookmarkEnd w:id="57"/>
    </w:p>
    <w:p w:rsidR="00F82BAE" w:rsidRDefault="00F82BAE" w:rsidP="00F82BAE">
      <w:pPr>
        <w:rPr>
          <w:rFonts w:ascii="Verdana" w:hAnsi="Verdana"/>
          <w:color w:val="000000"/>
          <w:sz w:val="18"/>
          <w:szCs w:val="18"/>
        </w:rPr>
      </w:pPr>
      <w:r>
        <w:rPr>
          <w:rFonts w:ascii="Verdana" w:hAnsi="Verdana"/>
          <w:color w:val="000000"/>
          <w:sz w:val="18"/>
          <w:szCs w:val="18"/>
        </w:rPr>
        <w:t>One element of a successful BFPP defense is for a party to show it was not a potentially responsible party and had no affiliation with parties potentially liable for costs.</w:t>
      </w:r>
    </w:p>
    <w:p w:rsidR="00F82BAE" w:rsidRDefault="00F82BAE" w:rsidP="00F82BAE">
      <w:pPr>
        <w:rPr>
          <w:rFonts w:ascii="Verdana" w:hAnsi="Verdana"/>
          <w:color w:val="000000"/>
          <w:sz w:val="18"/>
          <w:szCs w:val="18"/>
        </w:rPr>
      </w:pPr>
      <w:bookmarkStart w:id="58" w:name="a0e2j6q2y0"/>
      <w:bookmarkEnd w:id="58"/>
    </w:p>
    <w:p w:rsidR="00F82BAE" w:rsidRDefault="00F82BAE" w:rsidP="00F82BAE">
      <w:pPr>
        <w:rPr>
          <w:rFonts w:ascii="Verdana" w:hAnsi="Verdana"/>
          <w:color w:val="000000"/>
          <w:sz w:val="18"/>
          <w:szCs w:val="18"/>
        </w:rPr>
      </w:pPr>
      <w:r>
        <w:rPr>
          <w:rFonts w:ascii="Verdana" w:hAnsi="Verdana"/>
          <w:color w:val="000000"/>
          <w:sz w:val="18"/>
          <w:szCs w:val="18"/>
        </w:rPr>
        <w:t>Roe said that in the wake of</w:t>
      </w:r>
      <w:r>
        <w:rPr>
          <w:rStyle w:val="apple-converted-space"/>
          <w:rFonts w:ascii="Verdana" w:hAnsi="Verdana"/>
          <w:color w:val="000000"/>
          <w:sz w:val="18"/>
          <w:szCs w:val="18"/>
        </w:rPr>
        <w:t> </w:t>
      </w:r>
      <w:r>
        <w:rPr>
          <w:rStyle w:val="emphi"/>
          <w:rFonts w:ascii="Verdana" w:hAnsi="Verdana"/>
          <w:i/>
          <w:iCs/>
          <w:color w:val="000000"/>
          <w:sz w:val="18"/>
          <w:szCs w:val="18"/>
        </w:rPr>
        <w:t>Ashley II</w:t>
      </w:r>
      <w:r>
        <w:rPr>
          <w:rFonts w:ascii="Verdana" w:hAnsi="Verdana"/>
          <w:color w:val="000000"/>
          <w:sz w:val="18"/>
          <w:szCs w:val="18"/>
        </w:rPr>
        <w:t>, a discussion of “affiliation” in the Common Elements Guidance might be helpful because the district court determined that an indemnity agreement created an affiliation that disqualified the party from the BFPP protection.</w:t>
      </w:r>
    </w:p>
    <w:p w:rsidR="00F82BAE" w:rsidRDefault="00F82BAE" w:rsidP="00F82BAE">
      <w:pPr>
        <w:rPr>
          <w:rFonts w:ascii="Verdana" w:hAnsi="Verdana"/>
          <w:color w:val="000000"/>
          <w:sz w:val="18"/>
          <w:szCs w:val="18"/>
        </w:rPr>
      </w:pPr>
      <w:bookmarkStart w:id="59" w:name="a0e2j6q2y1"/>
      <w:bookmarkEnd w:id="59"/>
    </w:p>
    <w:p w:rsidR="00F82BAE" w:rsidRDefault="00F82BAE" w:rsidP="00F82BAE">
      <w:pPr>
        <w:rPr>
          <w:rFonts w:ascii="Verdana" w:hAnsi="Verdana"/>
          <w:color w:val="000000"/>
          <w:sz w:val="18"/>
          <w:szCs w:val="18"/>
        </w:rPr>
      </w:pPr>
      <w:r>
        <w:rPr>
          <w:rFonts w:ascii="Verdana" w:hAnsi="Verdana"/>
          <w:color w:val="000000"/>
          <w:sz w:val="18"/>
          <w:szCs w:val="18"/>
        </w:rPr>
        <w:t>The Fourth Circuit's decision in</w:t>
      </w:r>
      <w:r>
        <w:rPr>
          <w:rStyle w:val="apple-converted-space"/>
          <w:rFonts w:ascii="Verdana" w:hAnsi="Verdana"/>
          <w:color w:val="000000"/>
          <w:sz w:val="18"/>
          <w:szCs w:val="18"/>
        </w:rPr>
        <w:t> </w:t>
      </w:r>
      <w:r>
        <w:rPr>
          <w:rStyle w:val="emphi"/>
          <w:rFonts w:ascii="Verdana" w:hAnsi="Verdana"/>
          <w:i/>
          <w:iCs/>
          <w:color w:val="000000"/>
          <w:sz w:val="18"/>
          <w:szCs w:val="18"/>
        </w:rPr>
        <w:t>Ashley II</w:t>
      </w:r>
      <w:r>
        <w:rPr>
          <w:rStyle w:val="apple-converted-space"/>
          <w:rFonts w:ascii="Verdana" w:hAnsi="Verdana"/>
          <w:color w:val="000000"/>
          <w:sz w:val="18"/>
          <w:szCs w:val="18"/>
        </w:rPr>
        <w:t> </w:t>
      </w:r>
      <w:r>
        <w:rPr>
          <w:rFonts w:ascii="Verdana" w:hAnsi="Verdana"/>
          <w:color w:val="000000"/>
          <w:sz w:val="18"/>
          <w:szCs w:val="18"/>
        </w:rPr>
        <w:t>does not discuss the affiliation issue, Roe said. “My understanding is that the reason it didn't get to the affiliation question was because it determined that</w:t>
      </w:r>
      <w:r>
        <w:rPr>
          <w:rStyle w:val="apple-converted-space"/>
          <w:rFonts w:ascii="Verdana" w:hAnsi="Verdana"/>
          <w:color w:val="000000"/>
          <w:sz w:val="18"/>
          <w:szCs w:val="18"/>
        </w:rPr>
        <w:t> </w:t>
      </w:r>
      <w:r>
        <w:rPr>
          <w:rStyle w:val="emphi"/>
          <w:rFonts w:ascii="Verdana" w:hAnsi="Verdana"/>
          <w:i/>
          <w:iCs/>
          <w:color w:val="000000"/>
          <w:sz w:val="18"/>
          <w:szCs w:val="18"/>
        </w:rPr>
        <w:t>Ashley II</w:t>
      </w:r>
      <w:r>
        <w:rPr>
          <w:rStyle w:val="apple-converted-space"/>
          <w:rFonts w:ascii="Verdana" w:hAnsi="Verdana"/>
          <w:color w:val="000000"/>
          <w:sz w:val="18"/>
          <w:szCs w:val="18"/>
        </w:rPr>
        <w:t> </w:t>
      </w:r>
      <w:r>
        <w:rPr>
          <w:rFonts w:ascii="Verdana" w:hAnsi="Verdana"/>
          <w:color w:val="000000"/>
          <w:sz w:val="18"/>
          <w:szCs w:val="18"/>
        </w:rPr>
        <w:t>had not met the appropriate care standard and therefore the affiliation analysis was unnecessary,” he said.</w:t>
      </w:r>
    </w:p>
    <w:p w:rsidR="00F82BAE" w:rsidRDefault="00F82BAE" w:rsidP="00F82BAE">
      <w:pPr>
        <w:rPr>
          <w:rFonts w:ascii="Verdana" w:hAnsi="Verdana"/>
          <w:b/>
          <w:bCs/>
          <w:color w:val="000000"/>
          <w:sz w:val="18"/>
          <w:szCs w:val="18"/>
        </w:rPr>
      </w:pPr>
      <w:bookmarkStart w:id="60" w:name="a0e2j6q2y2"/>
      <w:bookmarkEnd w:id="60"/>
      <w:r>
        <w:rPr>
          <w:rFonts w:ascii="Verdana" w:hAnsi="Verdana"/>
          <w:b/>
          <w:bCs/>
          <w:color w:val="000000"/>
          <w:sz w:val="18"/>
          <w:szCs w:val="18"/>
        </w:rPr>
        <w:lastRenderedPageBreak/>
        <w:t xml:space="preserve">‘Insight </w:t>
      </w:r>
      <w:proofErr w:type="gramStart"/>
      <w:r>
        <w:rPr>
          <w:rFonts w:ascii="Verdana" w:hAnsi="Verdana"/>
          <w:b/>
          <w:bCs/>
          <w:color w:val="000000"/>
          <w:sz w:val="18"/>
          <w:szCs w:val="18"/>
        </w:rPr>
        <w:t>Into</w:t>
      </w:r>
      <w:proofErr w:type="gramEnd"/>
      <w:r>
        <w:rPr>
          <w:rFonts w:ascii="Verdana" w:hAnsi="Verdana"/>
          <w:b/>
          <w:bCs/>
          <w:color w:val="000000"/>
          <w:sz w:val="18"/>
          <w:szCs w:val="18"/>
        </w:rPr>
        <w:t xml:space="preserve"> EPA's Thinking'</w:t>
      </w:r>
    </w:p>
    <w:p w:rsidR="00F82BAE" w:rsidRDefault="00F82BAE" w:rsidP="00F82BAE">
      <w:pPr>
        <w:rPr>
          <w:rFonts w:ascii="Verdana" w:hAnsi="Verdana"/>
          <w:color w:val="000000"/>
          <w:sz w:val="18"/>
          <w:szCs w:val="18"/>
        </w:rPr>
      </w:pPr>
      <w:bookmarkStart w:id="61" w:name="a0e2j6q2y3"/>
      <w:bookmarkEnd w:id="61"/>
    </w:p>
    <w:p w:rsidR="00F82BAE" w:rsidRDefault="00F82BAE" w:rsidP="00F82BAE">
      <w:pPr>
        <w:rPr>
          <w:rFonts w:ascii="Verdana" w:hAnsi="Verdana"/>
          <w:color w:val="000000"/>
          <w:sz w:val="18"/>
          <w:szCs w:val="18"/>
        </w:rPr>
      </w:pPr>
      <w:r>
        <w:rPr>
          <w:rFonts w:ascii="Verdana" w:hAnsi="Verdana"/>
          <w:color w:val="000000"/>
          <w:sz w:val="18"/>
          <w:szCs w:val="18"/>
        </w:rPr>
        <w:t>Schnapf said the 2011 guidance provided some helpful direction “on what kinds of relationships would not be considered improper affiliations that could cause a purchaser to lose its BFPP status.”</w:t>
      </w:r>
    </w:p>
    <w:p w:rsidR="00F82BAE" w:rsidRDefault="00F82BAE" w:rsidP="00F82BAE">
      <w:pPr>
        <w:rPr>
          <w:rFonts w:ascii="Verdana" w:hAnsi="Verdana"/>
          <w:color w:val="000000"/>
          <w:sz w:val="18"/>
          <w:szCs w:val="18"/>
        </w:rPr>
      </w:pPr>
      <w:bookmarkStart w:id="62" w:name="a0e2j6q2y4"/>
      <w:bookmarkEnd w:id="62"/>
    </w:p>
    <w:p w:rsidR="00F82BAE" w:rsidRDefault="00F82BAE" w:rsidP="00F82BAE">
      <w:pPr>
        <w:rPr>
          <w:rFonts w:ascii="Verdana" w:hAnsi="Verdana"/>
          <w:color w:val="000000"/>
          <w:sz w:val="18"/>
          <w:szCs w:val="18"/>
        </w:rPr>
      </w:pPr>
      <w:r>
        <w:rPr>
          <w:rFonts w:ascii="Verdana" w:hAnsi="Verdana"/>
          <w:color w:val="000000"/>
          <w:sz w:val="18"/>
          <w:szCs w:val="18"/>
        </w:rPr>
        <w:t>“While [EPA's] guidance did not and could not cover every conceivable possible relationship, it did provide insight into EPA's thinking on the contours of appropriate BFPP relationships,” Schnapf said. “EPA should provide the same kind of guidance on what it believes constitutes ‘appropriate care.’ ”</w:t>
      </w:r>
    </w:p>
    <w:p w:rsidR="00F82BAE" w:rsidRDefault="00F82BAE" w:rsidP="00F82BAE">
      <w:pPr>
        <w:rPr>
          <w:rFonts w:ascii="Verdana" w:hAnsi="Verdana"/>
          <w:color w:val="000000"/>
          <w:sz w:val="18"/>
          <w:szCs w:val="18"/>
        </w:rPr>
      </w:pPr>
      <w:bookmarkStart w:id="63" w:name="a0e2j6q2y5"/>
      <w:bookmarkEnd w:id="63"/>
    </w:p>
    <w:p w:rsidR="00F82BAE" w:rsidRDefault="00F82BAE" w:rsidP="00F82BAE">
      <w:pPr>
        <w:rPr>
          <w:rFonts w:ascii="Verdana" w:hAnsi="Verdana"/>
          <w:color w:val="000000"/>
          <w:sz w:val="18"/>
          <w:szCs w:val="18"/>
        </w:rPr>
      </w:pPr>
      <w:r>
        <w:rPr>
          <w:rFonts w:ascii="Verdana" w:hAnsi="Verdana"/>
          <w:color w:val="000000"/>
          <w:sz w:val="18"/>
          <w:szCs w:val="18"/>
        </w:rPr>
        <w:t>If the EPA does revise the 2003 guidance,</w:t>
      </w:r>
      <w:r>
        <w:rPr>
          <w:rStyle w:val="apple-converted-space"/>
          <w:rFonts w:ascii="Verdana" w:hAnsi="Verdana"/>
          <w:color w:val="000000"/>
          <w:sz w:val="18"/>
          <w:szCs w:val="18"/>
        </w:rPr>
        <w:t> </w:t>
      </w:r>
      <w:r>
        <w:rPr>
          <w:rStyle w:val="emphi"/>
          <w:rFonts w:ascii="Verdana" w:hAnsi="Verdana"/>
          <w:i/>
          <w:iCs/>
          <w:color w:val="000000"/>
          <w:sz w:val="18"/>
          <w:szCs w:val="18"/>
        </w:rPr>
        <w:t>Ashley II</w:t>
      </w:r>
      <w:r>
        <w:rPr>
          <w:rStyle w:val="apple-converted-space"/>
          <w:rFonts w:ascii="Verdana" w:hAnsi="Verdana"/>
          <w:color w:val="000000"/>
          <w:sz w:val="18"/>
          <w:szCs w:val="18"/>
        </w:rPr>
        <w:t> </w:t>
      </w:r>
      <w:r>
        <w:rPr>
          <w:rFonts w:ascii="Verdana" w:hAnsi="Verdana"/>
          <w:color w:val="000000"/>
          <w:sz w:val="18"/>
          <w:szCs w:val="18"/>
        </w:rPr>
        <w:t xml:space="preserve">would likely be addressed because it's the first appellate decision on the BFPP </w:t>
      </w:r>
      <w:proofErr w:type="gramStart"/>
      <w:r>
        <w:rPr>
          <w:rFonts w:ascii="Verdana" w:hAnsi="Verdana"/>
          <w:color w:val="000000"/>
          <w:sz w:val="18"/>
          <w:szCs w:val="18"/>
        </w:rPr>
        <w:t>defense,</w:t>
      </w:r>
      <w:proofErr w:type="gramEnd"/>
      <w:r>
        <w:rPr>
          <w:rFonts w:ascii="Verdana" w:hAnsi="Verdana"/>
          <w:color w:val="000000"/>
          <w:sz w:val="18"/>
          <w:szCs w:val="18"/>
        </w:rPr>
        <w:t xml:space="preserve"> the agency told Bloomberg BNA in an e-mail.</w:t>
      </w:r>
    </w:p>
    <w:p w:rsidR="00F82BAE" w:rsidRDefault="00F82BAE" w:rsidP="00F82BAE">
      <w:pPr>
        <w:rPr>
          <w:rFonts w:ascii="Verdana" w:hAnsi="Verdana"/>
          <w:color w:val="000000"/>
          <w:sz w:val="18"/>
          <w:szCs w:val="18"/>
        </w:rPr>
      </w:pPr>
      <w:bookmarkStart w:id="64" w:name="a0e2j6q2y6"/>
      <w:bookmarkEnd w:id="64"/>
    </w:p>
    <w:p w:rsidR="00F82BAE" w:rsidRDefault="00F82BAE" w:rsidP="00F82BAE">
      <w:pPr>
        <w:rPr>
          <w:rFonts w:ascii="Verdana" w:hAnsi="Verdana"/>
          <w:color w:val="000000"/>
          <w:sz w:val="18"/>
          <w:szCs w:val="18"/>
        </w:rPr>
      </w:pPr>
      <w:r>
        <w:rPr>
          <w:rFonts w:ascii="Verdana" w:hAnsi="Verdana"/>
          <w:color w:val="000000"/>
          <w:sz w:val="18"/>
          <w:szCs w:val="18"/>
        </w:rPr>
        <w:t>The guidance itself notes that it may be revised as the EPA gains more experience in implementing the 2002 Brownfields Law.</w:t>
      </w:r>
    </w:p>
    <w:p w:rsidR="00F82BAE" w:rsidRDefault="00F82BAE" w:rsidP="00F82BAE">
      <w:pPr>
        <w:rPr>
          <w:rFonts w:ascii="Verdana" w:hAnsi="Verdana"/>
          <w:color w:val="000000"/>
          <w:sz w:val="18"/>
          <w:szCs w:val="18"/>
        </w:rPr>
      </w:pPr>
      <w:bookmarkStart w:id="65" w:name="a0e2j6q2y7"/>
      <w:bookmarkEnd w:id="65"/>
    </w:p>
    <w:p w:rsidR="00F82BAE" w:rsidRDefault="00F82BAE" w:rsidP="00F82BAE">
      <w:pPr>
        <w:rPr>
          <w:rFonts w:ascii="Verdana" w:hAnsi="Verdana"/>
          <w:color w:val="000000"/>
          <w:sz w:val="18"/>
          <w:szCs w:val="18"/>
        </w:rPr>
      </w:pPr>
      <w:r>
        <w:rPr>
          <w:rFonts w:ascii="Verdana" w:hAnsi="Verdana"/>
          <w:color w:val="000000"/>
          <w:sz w:val="18"/>
          <w:szCs w:val="18"/>
        </w:rPr>
        <w:t>However, the EPA has not taken any action yet to revise the guidance, nor has it announced any plans for new policy in the area covered by the guidance. It may look at the need for new or updated policy as appropriate or necessary, the agency said.</w:t>
      </w:r>
    </w:p>
    <w:p w:rsidR="00370C03" w:rsidRDefault="00370C03"/>
    <w:sectPr w:rsidR="00370C03" w:rsidSect="000578D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F82BAE"/>
    <w:rsid w:val="00017FCB"/>
    <w:rsid w:val="000578D9"/>
    <w:rsid w:val="0015473F"/>
    <w:rsid w:val="00370C03"/>
    <w:rsid w:val="006611E3"/>
    <w:rsid w:val="009348D3"/>
    <w:rsid w:val="00B0036C"/>
    <w:rsid w:val="00DA321D"/>
    <w:rsid w:val="00E1488A"/>
    <w:rsid w:val="00F17917"/>
    <w:rsid w:val="00F82B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78D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phb">
    <w:name w:val="emphb"/>
    <w:basedOn w:val="DefaultParagraphFont"/>
    <w:rsid w:val="00F82BAE"/>
  </w:style>
  <w:style w:type="character" w:customStyle="1" w:styleId="apple-converted-space">
    <w:name w:val="apple-converted-space"/>
    <w:basedOn w:val="DefaultParagraphFont"/>
    <w:rsid w:val="00F82BAE"/>
  </w:style>
  <w:style w:type="character" w:styleId="Hyperlink">
    <w:name w:val="Hyperlink"/>
    <w:basedOn w:val="DefaultParagraphFont"/>
    <w:uiPriority w:val="99"/>
    <w:unhideWhenUsed/>
    <w:rsid w:val="00F82BAE"/>
    <w:rPr>
      <w:color w:val="0000FF"/>
      <w:u w:val="single"/>
    </w:rPr>
  </w:style>
  <w:style w:type="character" w:customStyle="1" w:styleId="document-link">
    <w:name w:val="document-link"/>
    <w:basedOn w:val="DefaultParagraphFont"/>
    <w:rsid w:val="00F82BAE"/>
  </w:style>
  <w:style w:type="character" w:customStyle="1" w:styleId="emphi">
    <w:name w:val="emphi"/>
    <w:basedOn w:val="DefaultParagraphFont"/>
    <w:rsid w:val="00F82BAE"/>
  </w:style>
  <w:style w:type="character" w:customStyle="1" w:styleId="case-name">
    <w:name w:val="case-name"/>
    <w:basedOn w:val="DefaultParagraphFont"/>
    <w:rsid w:val="00F82BAE"/>
  </w:style>
  <w:style w:type="paragraph" w:styleId="BalloonText">
    <w:name w:val="Balloon Text"/>
    <w:basedOn w:val="Normal"/>
    <w:link w:val="BalloonTextChar"/>
    <w:rsid w:val="00F82BAE"/>
    <w:rPr>
      <w:rFonts w:ascii="Tahoma" w:hAnsi="Tahoma" w:cs="Tahoma"/>
      <w:sz w:val="16"/>
      <w:szCs w:val="16"/>
    </w:rPr>
  </w:style>
  <w:style w:type="character" w:customStyle="1" w:styleId="BalloonTextChar">
    <w:name w:val="Balloon Text Char"/>
    <w:basedOn w:val="DefaultParagraphFont"/>
    <w:link w:val="BalloonText"/>
    <w:rsid w:val="00F82B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2572527">
      <w:bodyDiv w:val="1"/>
      <w:marLeft w:val="0"/>
      <w:marRight w:val="0"/>
      <w:marTop w:val="0"/>
      <w:marBottom w:val="0"/>
      <w:divBdr>
        <w:top w:val="none" w:sz="0" w:space="0" w:color="auto"/>
        <w:left w:val="none" w:sz="0" w:space="0" w:color="auto"/>
        <w:bottom w:val="none" w:sz="0" w:space="0" w:color="auto"/>
        <w:right w:val="none" w:sz="0" w:space="0" w:color="auto"/>
      </w:divBdr>
      <w:divsChild>
        <w:div w:id="859777357">
          <w:marLeft w:val="360"/>
          <w:marRight w:val="360"/>
          <w:marTop w:val="0"/>
          <w:marBottom w:val="0"/>
          <w:divBdr>
            <w:top w:val="none" w:sz="0" w:space="0" w:color="auto"/>
            <w:left w:val="none" w:sz="0" w:space="0" w:color="auto"/>
            <w:bottom w:val="none" w:sz="0" w:space="0" w:color="auto"/>
            <w:right w:val="none" w:sz="0" w:space="0" w:color="auto"/>
          </w:divBdr>
        </w:div>
        <w:div w:id="320886647">
          <w:marLeft w:val="360"/>
          <w:marRight w:val="360"/>
          <w:marTop w:val="0"/>
          <w:marBottom w:val="0"/>
          <w:divBdr>
            <w:top w:val="none" w:sz="0" w:space="0" w:color="auto"/>
            <w:left w:val="none" w:sz="0" w:space="0" w:color="auto"/>
            <w:bottom w:val="none" w:sz="0" w:space="0" w:color="auto"/>
            <w:right w:val="none" w:sz="0" w:space="0" w:color="auto"/>
          </w:divBdr>
        </w:div>
        <w:div w:id="1409889363">
          <w:marLeft w:val="75"/>
          <w:marRight w:val="75"/>
          <w:marTop w:val="75"/>
          <w:marBottom w:val="75"/>
          <w:divBdr>
            <w:top w:val="single" w:sz="8" w:space="2" w:color="C8D3F1"/>
            <w:left w:val="single" w:sz="8" w:space="2" w:color="C8D3F1"/>
            <w:bottom w:val="single" w:sz="8" w:space="2" w:color="C8D3F1"/>
            <w:right w:val="single" w:sz="8" w:space="2" w:color="C8D3F1"/>
          </w:divBdr>
          <w:divsChild>
            <w:div w:id="255788850">
              <w:marLeft w:val="75"/>
              <w:marRight w:val="75"/>
              <w:marTop w:val="75"/>
              <w:marBottom w:val="75"/>
              <w:divBdr>
                <w:top w:val="none" w:sz="0" w:space="0" w:color="auto"/>
                <w:left w:val="none" w:sz="0" w:space="0" w:color="auto"/>
                <w:bottom w:val="none" w:sz="0" w:space="0" w:color="auto"/>
                <w:right w:val="none" w:sz="0" w:space="0" w:color="auto"/>
              </w:divBdr>
            </w:div>
            <w:div w:id="354113465">
              <w:marLeft w:val="75"/>
              <w:marRight w:val="75"/>
              <w:marTop w:val="75"/>
              <w:marBottom w:val="75"/>
              <w:divBdr>
                <w:top w:val="none" w:sz="0" w:space="0" w:color="auto"/>
                <w:left w:val="none" w:sz="0" w:space="0" w:color="auto"/>
                <w:bottom w:val="none" w:sz="0" w:space="0" w:color="auto"/>
                <w:right w:val="none" w:sz="0" w:space="0" w:color="auto"/>
              </w:divBdr>
            </w:div>
            <w:div w:id="1898121412">
              <w:marLeft w:val="75"/>
              <w:marRight w:val="75"/>
              <w:marTop w:val="75"/>
              <w:marBottom w:val="75"/>
              <w:divBdr>
                <w:top w:val="none" w:sz="0" w:space="0" w:color="auto"/>
                <w:left w:val="none" w:sz="0" w:space="0" w:color="auto"/>
                <w:bottom w:val="none" w:sz="0" w:space="0" w:color="auto"/>
                <w:right w:val="none" w:sz="0" w:space="0" w:color="auto"/>
              </w:divBdr>
            </w:div>
          </w:divsChild>
        </w:div>
        <w:div w:id="1888879943">
          <w:marLeft w:val="360"/>
          <w:marRight w:val="360"/>
          <w:marTop w:val="0"/>
          <w:marBottom w:val="0"/>
          <w:divBdr>
            <w:top w:val="none" w:sz="0" w:space="0" w:color="auto"/>
            <w:left w:val="none" w:sz="0" w:space="0" w:color="auto"/>
            <w:bottom w:val="none" w:sz="0" w:space="0" w:color="auto"/>
            <w:right w:val="none" w:sz="0" w:space="0" w:color="auto"/>
          </w:divBdr>
        </w:div>
        <w:div w:id="261374455">
          <w:marLeft w:val="360"/>
          <w:marRight w:val="360"/>
          <w:marTop w:val="0"/>
          <w:marBottom w:val="0"/>
          <w:divBdr>
            <w:top w:val="none" w:sz="0" w:space="0" w:color="auto"/>
            <w:left w:val="none" w:sz="0" w:space="0" w:color="auto"/>
            <w:bottom w:val="none" w:sz="0" w:space="0" w:color="auto"/>
            <w:right w:val="none" w:sz="0" w:space="0" w:color="auto"/>
          </w:divBdr>
        </w:div>
        <w:div w:id="812409314">
          <w:marLeft w:val="360"/>
          <w:marRight w:val="360"/>
          <w:marTop w:val="0"/>
          <w:marBottom w:val="0"/>
          <w:divBdr>
            <w:top w:val="none" w:sz="0" w:space="0" w:color="auto"/>
            <w:left w:val="none" w:sz="0" w:space="0" w:color="auto"/>
            <w:bottom w:val="none" w:sz="0" w:space="0" w:color="auto"/>
            <w:right w:val="none" w:sz="0" w:space="0" w:color="auto"/>
          </w:divBdr>
        </w:div>
        <w:div w:id="764154817">
          <w:marLeft w:val="360"/>
          <w:marRight w:val="360"/>
          <w:marTop w:val="0"/>
          <w:marBottom w:val="0"/>
          <w:divBdr>
            <w:top w:val="none" w:sz="0" w:space="0" w:color="auto"/>
            <w:left w:val="none" w:sz="0" w:space="0" w:color="auto"/>
            <w:bottom w:val="none" w:sz="0" w:space="0" w:color="auto"/>
            <w:right w:val="none" w:sz="0" w:space="0" w:color="auto"/>
          </w:divBdr>
        </w:div>
        <w:div w:id="1734235146">
          <w:marLeft w:val="360"/>
          <w:marRight w:val="360"/>
          <w:marTop w:val="0"/>
          <w:marBottom w:val="0"/>
          <w:divBdr>
            <w:top w:val="none" w:sz="0" w:space="0" w:color="auto"/>
            <w:left w:val="none" w:sz="0" w:space="0" w:color="auto"/>
            <w:bottom w:val="none" w:sz="0" w:space="0" w:color="auto"/>
            <w:right w:val="none" w:sz="0" w:space="0" w:color="auto"/>
          </w:divBdr>
        </w:div>
        <w:div w:id="889540812">
          <w:marLeft w:val="360"/>
          <w:marRight w:val="360"/>
          <w:marTop w:val="0"/>
          <w:marBottom w:val="0"/>
          <w:divBdr>
            <w:top w:val="none" w:sz="0" w:space="0" w:color="auto"/>
            <w:left w:val="none" w:sz="0" w:space="0" w:color="auto"/>
            <w:bottom w:val="none" w:sz="0" w:space="0" w:color="auto"/>
            <w:right w:val="none" w:sz="0" w:space="0" w:color="auto"/>
          </w:divBdr>
        </w:div>
        <w:div w:id="1019817248">
          <w:marLeft w:val="360"/>
          <w:marRight w:val="360"/>
          <w:marTop w:val="0"/>
          <w:marBottom w:val="0"/>
          <w:divBdr>
            <w:top w:val="none" w:sz="0" w:space="0" w:color="auto"/>
            <w:left w:val="none" w:sz="0" w:space="0" w:color="auto"/>
            <w:bottom w:val="none" w:sz="0" w:space="0" w:color="auto"/>
            <w:right w:val="none" w:sz="0" w:space="0" w:color="auto"/>
          </w:divBdr>
        </w:div>
        <w:div w:id="1262179986">
          <w:marLeft w:val="360"/>
          <w:marRight w:val="720"/>
          <w:marTop w:val="0"/>
          <w:marBottom w:val="0"/>
          <w:divBdr>
            <w:top w:val="none" w:sz="0" w:space="0" w:color="auto"/>
            <w:left w:val="none" w:sz="0" w:space="0" w:color="auto"/>
            <w:bottom w:val="none" w:sz="0" w:space="0" w:color="auto"/>
            <w:right w:val="none" w:sz="0" w:space="0" w:color="auto"/>
          </w:divBdr>
        </w:div>
        <w:div w:id="942497885">
          <w:marLeft w:val="360"/>
          <w:marRight w:val="360"/>
          <w:marTop w:val="0"/>
          <w:marBottom w:val="0"/>
          <w:divBdr>
            <w:top w:val="none" w:sz="0" w:space="0" w:color="auto"/>
            <w:left w:val="none" w:sz="0" w:space="0" w:color="auto"/>
            <w:bottom w:val="none" w:sz="0" w:space="0" w:color="auto"/>
            <w:right w:val="none" w:sz="0" w:space="0" w:color="auto"/>
          </w:divBdr>
        </w:div>
        <w:div w:id="2106143326">
          <w:marLeft w:val="360"/>
          <w:marRight w:val="360"/>
          <w:marTop w:val="0"/>
          <w:marBottom w:val="0"/>
          <w:divBdr>
            <w:top w:val="none" w:sz="0" w:space="0" w:color="auto"/>
            <w:left w:val="none" w:sz="0" w:space="0" w:color="auto"/>
            <w:bottom w:val="none" w:sz="0" w:space="0" w:color="auto"/>
            <w:right w:val="none" w:sz="0" w:space="0" w:color="auto"/>
          </w:divBdr>
        </w:div>
        <w:div w:id="1233390336">
          <w:marLeft w:val="360"/>
          <w:marRight w:val="360"/>
          <w:marTop w:val="0"/>
          <w:marBottom w:val="0"/>
          <w:divBdr>
            <w:top w:val="none" w:sz="0" w:space="0" w:color="auto"/>
            <w:left w:val="none" w:sz="0" w:space="0" w:color="auto"/>
            <w:bottom w:val="none" w:sz="0" w:space="0" w:color="auto"/>
            <w:right w:val="none" w:sz="0" w:space="0" w:color="auto"/>
          </w:divBdr>
        </w:div>
        <w:div w:id="2017683016">
          <w:marLeft w:val="360"/>
          <w:marRight w:val="360"/>
          <w:marTop w:val="0"/>
          <w:marBottom w:val="0"/>
          <w:divBdr>
            <w:top w:val="none" w:sz="0" w:space="0" w:color="auto"/>
            <w:left w:val="none" w:sz="0" w:space="0" w:color="auto"/>
            <w:bottom w:val="none" w:sz="0" w:space="0" w:color="auto"/>
            <w:right w:val="none" w:sz="0" w:space="0" w:color="auto"/>
          </w:divBdr>
        </w:div>
        <w:div w:id="1857302453">
          <w:marLeft w:val="360"/>
          <w:marRight w:val="360"/>
          <w:marTop w:val="0"/>
          <w:marBottom w:val="0"/>
          <w:divBdr>
            <w:top w:val="none" w:sz="0" w:space="0" w:color="auto"/>
            <w:left w:val="none" w:sz="0" w:space="0" w:color="auto"/>
            <w:bottom w:val="none" w:sz="0" w:space="0" w:color="auto"/>
            <w:right w:val="none" w:sz="0" w:space="0" w:color="auto"/>
          </w:divBdr>
        </w:div>
        <w:div w:id="1310983484">
          <w:marLeft w:val="360"/>
          <w:marRight w:val="360"/>
          <w:marTop w:val="0"/>
          <w:marBottom w:val="0"/>
          <w:divBdr>
            <w:top w:val="none" w:sz="0" w:space="0" w:color="auto"/>
            <w:left w:val="none" w:sz="0" w:space="0" w:color="auto"/>
            <w:bottom w:val="none" w:sz="0" w:space="0" w:color="auto"/>
            <w:right w:val="none" w:sz="0" w:space="0" w:color="auto"/>
          </w:divBdr>
        </w:div>
        <w:div w:id="1491360159">
          <w:marLeft w:val="360"/>
          <w:marRight w:val="360"/>
          <w:marTop w:val="0"/>
          <w:marBottom w:val="0"/>
          <w:divBdr>
            <w:top w:val="none" w:sz="0" w:space="0" w:color="auto"/>
            <w:left w:val="none" w:sz="0" w:space="0" w:color="auto"/>
            <w:bottom w:val="none" w:sz="0" w:space="0" w:color="auto"/>
            <w:right w:val="none" w:sz="0" w:space="0" w:color="auto"/>
          </w:divBdr>
        </w:div>
        <w:div w:id="1240869673">
          <w:marLeft w:val="360"/>
          <w:marRight w:val="360"/>
          <w:marTop w:val="0"/>
          <w:marBottom w:val="0"/>
          <w:divBdr>
            <w:top w:val="none" w:sz="0" w:space="0" w:color="auto"/>
            <w:left w:val="none" w:sz="0" w:space="0" w:color="auto"/>
            <w:bottom w:val="none" w:sz="0" w:space="0" w:color="auto"/>
            <w:right w:val="none" w:sz="0" w:space="0" w:color="auto"/>
          </w:divBdr>
        </w:div>
        <w:div w:id="1488785501">
          <w:marLeft w:val="360"/>
          <w:marRight w:val="360"/>
          <w:marTop w:val="0"/>
          <w:marBottom w:val="0"/>
          <w:divBdr>
            <w:top w:val="none" w:sz="0" w:space="0" w:color="auto"/>
            <w:left w:val="none" w:sz="0" w:space="0" w:color="auto"/>
            <w:bottom w:val="none" w:sz="0" w:space="0" w:color="auto"/>
            <w:right w:val="none" w:sz="0" w:space="0" w:color="auto"/>
          </w:divBdr>
        </w:div>
        <w:div w:id="1556425138">
          <w:marLeft w:val="360"/>
          <w:marRight w:val="720"/>
          <w:marTop w:val="0"/>
          <w:marBottom w:val="0"/>
          <w:divBdr>
            <w:top w:val="none" w:sz="0" w:space="0" w:color="auto"/>
            <w:left w:val="none" w:sz="0" w:space="0" w:color="auto"/>
            <w:bottom w:val="none" w:sz="0" w:space="0" w:color="auto"/>
            <w:right w:val="none" w:sz="0" w:space="0" w:color="auto"/>
          </w:divBdr>
        </w:div>
        <w:div w:id="387843152">
          <w:marLeft w:val="360"/>
          <w:marRight w:val="360"/>
          <w:marTop w:val="0"/>
          <w:marBottom w:val="0"/>
          <w:divBdr>
            <w:top w:val="none" w:sz="0" w:space="0" w:color="auto"/>
            <w:left w:val="none" w:sz="0" w:space="0" w:color="auto"/>
            <w:bottom w:val="none" w:sz="0" w:space="0" w:color="auto"/>
            <w:right w:val="none" w:sz="0" w:space="0" w:color="auto"/>
          </w:divBdr>
        </w:div>
        <w:div w:id="1835684153">
          <w:marLeft w:val="360"/>
          <w:marRight w:val="360"/>
          <w:marTop w:val="0"/>
          <w:marBottom w:val="0"/>
          <w:divBdr>
            <w:top w:val="none" w:sz="0" w:space="0" w:color="auto"/>
            <w:left w:val="none" w:sz="0" w:space="0" w:color="auto"/>
            <w:bottom w:val="none" w:sz="0" w:space="0" w:color="auto"/>
            <w:right w:val="none" w:sz="0" w:space="0" w:color="auto"/>
          </w:divBdr>
        </w:div>
        <w:div w:id="681905453">
          <w:marLeft w:val="360"/>
          <w:marRight w:val="360"/>
          <w:marTop w:val="0"/>
          <w:marBottom w:val="0"/>
          <w:divBdr>
            <w:top w:val="none" w:sz="0" w:space="0" w:color="auto"/>
            <w:left w:val="none" w:sz="0" w:space="0" w:color="auto"/>
            <w:bottom w:val="none" w:sz="0" w:space="0" w:color="auto"/>
            <w:right w:val="none" w:sz="0" w:space="0" w:color="auto"/>
          </w:divBdr>
        </w:div>
        <w:div w:id="1937009075">
          <w:marLeft w:val="360"/>
          <w:marRight w:val="360"/>
          <w:marTop w:val="0"/>
          <w:marBottom w:val="0"/>
          <w:divBdr>
            <w:top w:val="none" w:sz="0" w:space="0" w:color="auto"/>
            <w:left w:val="none" w:sz="0" w:space="0" w:color="auto"/>
            <w:bottom w:val="none" w:sz="0" w:space="0" w:color="auto"/>
            <w:right w:val="none" w:sz="0" w:space="0" w:color="auto"/>
          </w:divBdr>
        </w:div>
        <w:div w:id="648437858">
          <w:marLeft w:val="360"/>
          <w:marRight w:val="720"/>
          <w:marTop w:val="0"/>
          <w:marBottom w:val="0"/>
          <w:divBdr>
            <w:top w:val="none" w:sz="0" w:space="0" w:color="auto"/>
            <w:left w:val="none" w:sz="0" w:space="0" w:color="auto"/>
            <w:bottom w:val="none" w:sz="0" w:space="0" w:color="auto"/>
            <w:right w:val="none" w:sz="0" w:space="0" w:color="auto"/>
          </w:divBdr>
        </w:div>
        <w:div w:id="934556232">
          <w:marLeft w:val="360"/>
          <w:marRight w:val="360"/>
          <w:marTop w:val="0"/>
          <w:marBottom w:val="0"/>
          <w:divBdr>
            <w:top w:val="none" w:sz="0" w:space="0" w:color="auto"/>
            <w:left w:val="none" w:sz="0" w:space="0" w:color="auto"/>
            <w:bottom w:val="none" w:sz="0" w:space="0" w:color="auto"/>
            <w:right w:val="none" w:sz="0" w:space="0" w:color="auto"/>
          </w:divBdr>
        </w:div>
        <w:div w:id="412818738">
          <w:marLeft w:val="360"/>
          <w:marRight w:val="360"/>
          <w:marTop w:val="0"/>
          <w:marBottom w:val="0"/>
          <w:divBdr>
            <w:top w:val="none" w:sz="0" w:space="0" w:color="auto"/>
            <w:left w:val="none" w:sz="0" w:space="0" w:color="auto"/>
            <w:bottom w:val="none" w:sz="0" w:space="0" w:color="auto"/>
            <w:right w:val="none" w:sz="0" w:space="0" w:color="auto"/>
          </w:divBdr>
        </w:div>
        <w:div w:id="352390764">
          <w:marLeft w:val="360"/>
          <w:marRight w:val="360"/>
          <w:marTop w:val="0"/>
          <w:marBottom w:val="0"/>
          <w:divBdr>
            <w:top w:val="none" w:sz="0" w:space="0" w:color="auto"/>
            <w:left w:val="none" w:sz="0" w:space="0" w:color="auto"/>
            <w:bottom w:val="none" w:sz="0" w:space="0" w:color="auto"/>
            <w:right w:val="none" w:sz="0" w:space="0" w:color="auto"/>
          </w:divBdr>
        </w:div>
        <w:div w:id="1099983696">
          <w:marLeft w:val="360"/>
          <w:marRight w:val="360"/>
          <w:marTop w:val="0"/>
          <w:marBottom w:val="0"/>
          <w:divBdr>
            <w:top w:val="none" w:sz="0" w:space="0" w:color="auto"/>
            <w:left w:val="none" w:sz="0" w:space="0" w:color="auto"/>
            <w:bottom w:val="none" w:sz="0" w:space="0" w:color="auto"/>
            <w:right w:val="none" w:sz="0" w:space="0" w:color="auto"/>
          </w:divBdr>
        </w:div>
        <w:div w:id="2110008135">
          <w:marLeft w:val="360"/>
          <w:marRight w:val="360"/>
          <w:marTop w:val="0"/>
          <w:marBottom w:val="0"/>
          <w:divBdr>
            <w:top w:val="none" w:sz="0" w:space="0" w:color="auto"/>
            <w:left w:val="none" w:sz="0" w:space="0" w:color="auto"/>
            <w:bottom w:val="none" w:sz="0" w:space="0" w:color="auto"/>
            <w:right w:val="none" w:sz="0" w:space="0" w:color="auto"/>
          </w:divBdr>
        </w:div>
        <w:div w:id="1415280477">
          <w:marLeft w:val="360"/>
          <w:marRight w:val="360"/>
          <w:marTop w:val="0"/>
          <w:marBottom w:val="0"/>
          <w:divBdr>
            <w:top w:val="none" w:sz="0" w:space="0" w:color="auto"/>
            <w:left w:val="none" w:sz="0" w:space="0" w:color="auto"/>
            <w:bottom w:val="none" w:sz="0" w:space="0" w:color="auto"/>
            <w:right w:val="none" w:sz="0" w:space="0" w:color="auto"/>
          </w:divBdr>
        </w:div>
        <w:div w:id="1435201212">
          <w:marLeft w:val="360"/>
          <w:marRight w:val="360"/>
          <w:marTop w:val="0"/>
          <w:marBottom w:val="0"/>
          <w:divBdr>
            <w:top w:val="none" w:sz="0" w:space="0" w:color="auto"/>
            <w:left w:val="none" w:sz="0" w:space="0" w:color="auto"/>
            <w:bottom w:val="none" w:sz="0" w:space="0" w:color="auto"/>
            <w:right w:val="none" w:sz="0" w:space="0" w:color="auto"/>
          </w:divBdr>
        </w:div>
        <w:div w:id="1368872789">
          <w:marLeft w:val="360"/>
          <w:marRight w:val="360"/>
          <w:marTop w:val="0"/>
          <w:marBottom w:val="0"/>
          <w:divBdr>
            <w:top w:val="none" w:sz="0" w:space="0" w:color="auto"/>
            <w:left w:val="none" w:sz="0" w:space="0" w:color="auto"/>
            <w:bottom w:val="none" w:sz="0" w:space="0" w:color="auto"/>
            <w:right w:val="none" w:sz="0" w:space="0" w:color="auto"/>
          </w:divBdr>
        </w:div>
        <w:div w:id="1955136427">
          <w:marLeft w:val="360"/>
          <w:marRight w:val="360"/>
          <w:marTop w:val="0"/>
          <w:marBottom w:val="0"/>
          <w:divBdr>
            <w:top w:val="none" w:sz="0" w:space="0" w:color="auto"/>
            <w:left w:val="none" w:sz="0" w:space="0" w:color="auto"/>
            <w:bottom w:val="none" w:sz="0" w:space="0" w:color="auto"/>
            <w:right w:val="none" w:sz="0" w:space="0" w:color="auto"/>
          </w:divBdr>
        </w:div>
        <w:div w:id="1131628683">
          <w:marLeft w:val="360"/>
          <w:marRight w:val="360"/>
          <w:marTop w:val="0"/>
          <w:marBottom w:val="0"/>
          <w:divBdr>
            <w:top w:val="none" w:sz="0" w:space="0" w:color="auto"/>
            <w:left w:val="none" w:sz="0" w:space="0" w:color="auto"/>
            <w:bottom w:val="none" w:sz="0" w:space="0" w:color="auto"/>
            <w:right w:val="none" w:sz="0" w:space="0" w:color="auto"/>
          </w:divBdr>
        </w:div>
        <w:div w:id="676426404">
          <w:marLeft w:val="360"/>
          <w:marRight w:val="360"/>
          <w:marTop w:val="0"/>
          <w:marBottom w:val="0"/>
          <w:divBdr>
            <w:top w:val="none" w:sz="0" w:space="0" w:color="auto"/>
            <w:left w:val="none" w:sz="0" w:space="0" w:color="auto"/>
            <w:bottom w:val="none" w:sz="0" w:space="0" w:color="auto"/>
            <w:right w:val="none" w:sz="0" w:space="0" w:color="auto"/>
          </w:divBdr>
        </w:div>
        <w:div w:id="688605294">
          <w:marLeft w:val="360"/>
          <w:marRight w:val="360"/>
          <w:marTop w:val="0"/>
          <w:marBottom w:val="0"/>
          <w:divBdr>
            <w:top w:val="none" w:sz="0" w:space="0" w:color="auto"/>
            <w:left w:val="none" w:sz="0" w:space="0" w:color="auto"/>
            <w:bottom w:val="none" w:sz="0" w:space="0" w:color="auto"/>
            <w:right w:val="none" w:sz="0" w:space="0" w:color="auto"/>
          </w:divBdr>
        </w:div>
        <w:div w:id="853763142">
          <w:marLeft w:val="360"/>
          <w:marRight w:val="720"/>
          <w:marTop w:val="0"/>
          <w:marBottom w:val="0"/>
          <w:divBdr>
            <w:top w:val="none" w:sz="0" w:space="0" w:color="auto"/>
            <w:left w:val="none" w:sz="0" w:space="0" w:color="auto"/>
            <w:bottom w:val="none" w:sz="0" w:space="0" w:color="auto"/>
            <w:right w:val="none" w:sz="0" w:space="0" w:color="auto"/>
          </w:divBdr>
        </w:div>
        <w:div w:id="1995913505">
          <w:marLeft w:val="360"/>
          <w:marRight w:val="360"/>
          <w:marTop w:val="0"/>
          <w:marBottom w:val="0"/>
          <w:divBdr>
            <w:top w:val="none" w:sz="0" w:space="0" w:color="auto"/>
            <w:left w:val="none" w:sz="0" w:space="0" w:color="auto"/>
            <w:bottom w:val="none" w:sz="0" w:space="0" w:color="auto"/>
            <w:right w:val="none" w:sz="0" w:space="0" w:color="auto"/>
          </w:divBdr>
        </w:div>
        <w:div w:id="754862635">
          <w:marLeft w:val="360"/>
          <w:marRight w:val="360"/>
          <w:marTop w:val="0"/>
          <w:marBottom w:val="0"/>
          <w:divBdr>
            <w:top w:val="none" w:sz="0" w:space="0" w:color="auto"/>
            <w:left w:val="none" w:sz="0" w:space="0" w:color="auto"/>
            <w:bottom w:val="none" w:sz="0" w:space="0" w:color="auto"/>
            <w:right w:val="none" w:sz="0" w:space="0" w:color="auto"/>
          </w:divBdr>
        </w:div>
        <w:div w:id="4017014">
          <w:marLeft w:val="360"/>
          <w:marRight w:val="360"/>
          <w:marTop w:val="0"/>
          <w:marBottom w:val="0"/>
          <w:divBdr>
            <w:top w:val="none" w:sz="0" w:space="0" w:color="auto"/>
            <w:left w:val="none" w:sz="0" w:space="0" w:color="auto"/>
            <w:bottom w:val="none" w:sz="0" w:space="0" w:color="auto"/>
            <w:right w:val="none" w:sz="0" w:space="0" w:color="auto"/>
          </w:divBdr>
        </w:div>
        <w:div w:id="2143111051">
          <w:marLeft w:val="360"/>
          <w:marRight w:val="360"/>
          <w:marTop w:val="0"/>
          <w:marBottom w:val="0"/>
          <w:divBdr>
            <w:top w:val="none" w:sz="0" w:space="0" w:color="auto"/>
            <w:left w:val="none" w:sz="0" w:space="0" w:color="auto"/>
            <w:bottom w:val="none" w:sz="0" w:space="0" w:color="auto"/>
            <w:right w:val="none" w:sz="0" w:space="0" w:color="auto"/>
          </w:divBdr>
        </w:div>
        <w:div w:id="1330476312">
          <w:marLeft w:val="360"/>
          <w:marRight w:val="720"/>
          <w:marTop w:val="0"/>
          <w:marBottom w:val="0"/>
          <w:divBdr>
            <w:top w:val="none" w:sz="0" w:space="0" w:color="auto"/>
            <w:left w:val="none" w:sz="0" w:space="0" w:color="auto"/>
            <w:bottom w:val="none" w:sz="0" w:space="0" w:color="auto"/>
            <w:right w:val="none" w:sz="0" w:space="0" w:color="auto"/>
          </w:divBdr>
        </w:div>
        <w:div w:id="944388306">
          <w:marLeft w:val="360"/>
          <w:marRight w:val="360"/>
          <w:marTop w:val="0"/>
          <w:marBottom w:val="0"/>
          <w:divBdr>
            <w:top w:val="none" w:sz="0" w:space="0" w:color="auto"/>
            <w:left w:val="none" w:sz="0" w:space="0" w:color="auto"/>
            <w:bottom w:val="none" w:sz="0" w:space="0" w:color="auto"/>
            <w:right w:val="none" w:sz="0" w:space="0" w:color="auto"/>
          </w:divBdr>
        </w:div>
        <w:div w:id="1885677518">
          <w:marLeft w:val="360"/>
          <w:marRight w:val="360"/>
          <w:marTop w:val="0"/>
          <w:marBottom w:val="0"/>
          <w:divBdr>
            <w:top w:val="none" w:sz="0" w:space="0" w:color="auto"/>
            <w:left w:val="none" w:sz="0" w:space="0" w:color="auto"/>
            <w:bottom w:val="none" w:sz="0" w:space="0" w:color="auto"/>
            <w:right w:val="none" w:sz="0" w:space="0" w:color="auto"/>
          </w:divBdr>
        </w:div>
        <w:div w:id="256983144">
          <w:marLeft w:val="360"/>
          <w:marRight w:val="360"/>
          <w:marTop w:val="0"/>
          <w:marBottom w:val="0"/>
          <w:divBdr>
            <w:top w:val="none" w:sz="0" w:space="0" w:color="auto"/>
            <w:left w:val="none" w:sz="0" w:space="0" w:color="auto"/>
            <w:bottom w:val="none" w:sz="0" w:space="0" w:color="auto"/>
            <w:right w:val="none" w:sz="0" w:space="0" w:color="auto"/>
          </w:divBdr>
        </w:div>
        <w:div w:id="2142186007">
          <w:marLeft w:val="360"/>
          <w:marRight w:val="360"/>
          <w:marTop w:val="0"/>
          <w:marBottom w:val="0"/>
          <w:divBdr>
            <w:top w:val="none" w:sz="0" w:space="0" w:color="auto"/>
            <w:left w:val="none" w:sz="0" w:space="0" w:color="auto"/>
            <w:bottom w:val="none" w:sz="0" w:space="0" w:color="auto"/>
            <w:right w:val="none" w:sz="0" w:space="0" w:color="auto"/>
          </w:divBdr>
        </w:div>
        <w:div w:id="919212071">
          <w:marLeft w:val="360"/>
          <w:marRight w:val="360"/>
          <w:marTop w:val="0"/>
          <w:marBottom w:val="0"/>
          <w:divBdr>
            <w:top w:val="none" w:sz="0" w:space="0" w:color="auto"/>
            <w:left w:val="none" w:sz="0" w:space="0" w:color="auto"/>
            <w:bottom w:val="none" w:sz="0" w:space="0" w:color="auto"/>
            <w:right w:val="none" w:sz="0" w:space="0" w:color="auto"/>
          </w:divBdr>
        </w:div>
        <w:div w:id="1152256722">
          <w:marLeft w:val="360"/>
          <w:marRight w:val="360"/>
          <w:marTop w:val="0"/>
          <w:marBottom w:val="0"/>
          <w:divBdr>
            <w:top w:val="none" w:sz="0" w:space="0" w:color="auto"/>
            <w:left w:val="none" w:sz="0" w:space="0" w:color="auto"/>
            <w:bottom w:val="none" w:sz="0" w:space="0" w:color="auto"/>
            <w:right w:val="none" w:sz="0" w:space="0" w:color="auto"/>
          </w:divBdr>
        </w:div>
        <w:div w:id="905069684">
          <w:marLeft w:val="360"/>
          <w:marRight w:val="360"/>
          <w:marTop w:val="0"/>
          <w:marBottom w:val="0"/>
          <w:divBdr>
            <w:top w:val="none" w:sz="0" w:space="0" w:color="auto"/>
            <w:left w:val="none" w:sz="0" w:space="0" w:color="auto"/>
            <w:bottom w:val="none" w:sz="0" w:space="0" w:color="auto"/>
            <w:right w:val="none" w:sz="0" w:space="0" w:color="auto"/>
          </w:divBdr>
        </w:div>
        <w:div w:id="787898597">
          <w:marLeft w:val="360"/>
          <w:marRight w:val="360"/>
          <w:marTop w:val="0"/>
          <w:marBottom w:val="0"/>
          <w:divBdr>
            <w:top w:val="none" w:sz="0" w:space="0" w:color="auto"/>
            <w:left w:val="none" w:sz="0" w:space="0" w:color="auto"/>
            <w:bottom w:val="none" w:sz="0" w:space="0" w:color="auto"/>
            <w:right w:val="none" w:sz="0" w:space="0" w:color="auto"/>
          </w:divBdr>
        </w:div>
        <w:div w:id="1366098388">
          <w:marLeft w:val="360"/>
          <w:marRight w:val="360"/>
          <w:marTop w:val="0"/>
          <w:marBottom w:val="0"/>
          <w:divBdr>
            <w:top w:val="none" w:sz="0" w:space="0" w:color="auto"/>
            <w:left w:val="none" w:sz="0" w:space="0" w:color="auto"/>
            <w:bottom w:val="none" w:sz="0" w:space="0" w:color="auto"/>
            <w:right w:val="none" w:sz="0" w:space="0" w:color="auto"/>
          </w:divBdr>
        </w:div>
        <w:div w:id="760221429">
          <w:marLeft w:val="360"/>
          <w:marRight w:val="360"/>
          <w:marTop w:val="0"/>
          <w:marBottom w:val="0"/>
          <w:divBdr>
            <w:top w:val="none" w:sz="0" w:space="0" w:color="auto"/>
            <w:left w:val="none" w:sz="0" w:space="0" w:color="auto"/>
            <w:bottom w:val="none" w:sz="0" w:space="0" w:color="auto"/>
            <w:right w:val="none" w:sz="0" w:space="0" w:color="auto"/>
          </w:divBdr>
        </w:div>
        <w:div w:id="1719476143">
          <w:marLeft w:val="360"/>
          <w:marRight w:val="360"/>
          <w:marTop w:val="0"/>
          <w:marBottom w:val="0"/>
          <w:divBdr>
            <w:top w:val="none" w:sz="0" w:space="0" w:color="auto"/>
            <w:left w:val="none" w:sz="0" w:space="0" w:color="auto"/>
            <w:bottom w:val="none" w:sz="0" w:space="0" w:color="auto"/>
            <w:right w:val="none" w:sz="0" w:space="0" w:color="auto"/>
          </w:divBdr>
        </w:div>
        <w:div w:id="523443636">
          <w:marLeft w:val="360"/>
          <w:marRight w:val="720"/>
          <w:marTop w:val="0"/>
          <w:marBottom w:val="0"/>
          <w:divBdr>
            <w:top w:val="none" w:sz="0" w:space="0" w:color="auto"/>
            <w:left w:val="none" w:sz="0" w:space="0" w:color="auto"/>
            <w:bottom w:val="none" w:sz="0" w:space="0" w:color="auto"/>
            <w:right w:val="none" w:sz="0" w:space="0" w:color="auto"/>
          </w:divBdr>
        </w:div>
        <w:div w:id="212431607">
          <w:marLeft w:val="360"/>
          <w:marRight w:val="360"/>
          <w:marTop w:val="0"/>
          <w:marBottom w:val="0"/>
          <w:divBdr>
            <w:top w:val="none" w:sz="0" w:space="0" w:color="auto"/>
            <w:left w:val="none" w:sz="0" w:space="0" w:color="auto"/>
            <w:bottom w:val="none" w:sz="0" w:space="0" w:color="auto"/>
            <w:right w:val="none" w:sz="0" w:space="0" w:color="auto"/>
          </w:divBdr>
        </w:div>
        <w:div w:id="334386985">
          <w:marLeft w:val="360"/>
          <w:marRight w:val="360"/>
          <w:marTop w:val="0"/>
          <w:marBottom w:val="0"/>
          <w:divBdr>
            <w:top w:val="none" w:sz="0" w:space="0" w:color="auto"/>
            <w:left w:val="none" w:sz="0" w:space="0" w:color="auto"/>
            <w:bottom w:val="none" w:sz="0" w:space="0" w:color="auto"/>
            <w:right w:val="none" w:sz="0" w:space="0" w:color="auto"/>
          </w:divBdr>
        </w:div>
        <w:div w:id="1576208947">
          <w:marLeft w:val="360"/>
          <w:marRight w:val="360"/>
          <w:marTop w:val="0"/>
          <w:marBottom w:val="0"/>
          <w:divBdr>
            <w:top w:val="none" w:sz="0" w:space="0" w:color="auto"/>
            <w:left w:val="none" w:sz="0" w:space="0" w:color="auto"/>
            <w:bottom w:val="none" w:sz="0" w:space="0" w:color="auto"/>
            <w:right w:val="none" w:sz="0" w:space="0" w:color="auto"/>
          </w:divBdr>
        </w:div>
        <w:div w:id="1478643746">
          <w:marLeft w:val="360"/>
          <w:marRight w:val="720"/>
          <w:marTop w:val="0"/>
          <w:marBottom w:val="0"/>
          <w:divBdr>
            <w:top w:val="none" w:sz="0" w:space="0" w:color="auto"/>
            <w:left w:val="none" w:sz="0" w:space="0" w:color="auto"/>
            <w:bottom w:val="none" w:sz="0" w:space="0" w:color="auto"/>
            <w:right w:val="none" w:sz="0" w:space="0" w:color="auto"/>
          </w:divBdr>
        </w:div>
        <w:div w:id="1318656782">
          <w:marLeft w:val="360"/>
          <w:marRight w:val="360"/>
          <w:marTop w:val="0"/>
          <w:marBottom w:val="0"/>
          <w:divBdr>
            <w:top w:val="none" w:sz="0" w:space="0" w:color="auto"/>
            <w:left w:val="none" w:sz="0" w:space="0" w:color="auto"/>
            <w:bottom w:val="none" w:sz="0" w:space="0" w:color="auto"/>
            <w:right w:val="none" w:sz="0" w:space="0" w:color="auto"/>
          </w:divBdr>
        </w:div>
        <w:div w:id="2082242290">
          <w:marLeft w:val="360"/>
          <w:marRight w:val="360"/>
          <w:marTop w:val="0"/>
          <w:marBottom w:val="0"/>
          <w:divBdr>
            <w:top w:val="none" w:sz="0" w:space="0" w:color="auto"/>
            <w:left w:val="none" w:sz="0" w:space="0" w:color="auto"/>
            <w:bottom w:val="none" w:sz="0" w:space="0" w:color="auto"/>
            <w:right w:val="none" w:sz="0" w:space="0" w:color="auto"/>
          </w:divBdr>
        </w:div>
        <w:div w:id="849443605">
          <w:marLeft w:val="360"/>
          <w:marRight w:val="360"/>
          <w:marTop w:val="0"/>
          <w:marBottom w:val="0"/>
          <w:divBdr>
            <w:top w:val="none" w:sz="0" w:space="0" w:color="auto"/>
            <w:left w:val="none" w:sz="0" w:space="0" w:color="auto"/>
            <w:bottom w:val="none" w:sz="0" w:space="0" w:color="auto"/>
            <w:right w:val="none" w:sz="0" w:space="0" w:color="auto"/>
          </w:divBdr>
        </w:div>
        <w:div w:id="1945914897">
          <w:marLeft w:val="360"/>
          <w:marRight w:val="360"/>
          <w:marTop w:val="0"/>
          <w:marBottom w:val="0"/>
          <w:divBdr>
            <w:top w:val="none" w:sz="0" w:space="0" w:color="auto"/>
            <w:left w:val="none" w:sz="0" w:space="0" w:color="auto"/>
            <w:bottom w:val="none" w:sz="0" w:space="0" w:color="auto"/>
            <w:right w:val="none" w:sz="0" w:space="0" w:color="auto"/>
          </w:divBdr>
        </w:div>
        <w:div w:id="2017805466">
          <w:marLeft w:val="360"/>
          <w:marRight w:val="36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ews.bna.com/ddln/display/link_res.adp?fedfid=37189917&amp;fname=a0e0z9e1z8&amp;vname=edgnewsallissues" TargetMode="External"/><Relationship Id="rId3" Type="http://schemas.openxmlformats.org/officeDocument/2006/relationships/webSettings" Target="webSettings.xml"/><Relationship Id="rId7" Type="http://schemas.openxmlformats.org/officeDocument/2006/relationships/hyperlink" Target="http://news.bna.com/ddln/display/link_res.adp?fedfid=37189917&amp;fname=a0d7d9v8q2&amp;vname=edgnewsallissu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ews.bna.com/ddln/display/link_res.adp?fedfid=37189917&amp;fname=a0a6t0w6a8&amp;vname=edgnewsallissues" TargetMode="External"/><Relationship Id="rId11" Type="http://schemas.openxmlformats.org/officeDocument/2006/relationships/theme" Target="theme/theme1.xml"/><Relationship Id="rId5" Type="http://schemas.openxmlformats.org/officeDocument/2006/relationships/hyperlink" Target="http://www2.epa.gov/enforcement/interim-guidance-common-elements-landowner-criteria-qualify-bfpp-cpo-or-ilo-superfund"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epa.gov/compliance/resources/policies/cleanup/superfund/affiliation-bfpp-cp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2196</Words>
  <Characters>12487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dc:creator>
  <cp:lastModifiedBy>Larry</cp:lastModifiedBy>
  <cp:revision>1</cp:revision>
  <dcterms:created xsi:type="dcterms:W3CDTF">2013-10-16T03:07:00Z</dcterms:created>
  <dcterms:modified xsi:type="dcterms:W3CDTF">2013-10-16T03:21:00Z</dcterms:modified>
</cp:coreProperties>
</file>